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dLocal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shares, nominal value $0.002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Michael Gosk</w:t>
              <w:br/>
              <w:t>c/o General Atlantic Service Company, LP, 55 East 52nd Street, 33rd Floor</w:t>
              <w:br/>
              <w:t>New York, NY, 10055</w:t>
              <w:br/>
              <w:t>212-715-4000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36,814,136.00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36,814,136.00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36,814,136.00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70"/>
        <w:gridCol w:w="7835"/>
      </w:tblGrid>
      <w:tr>
        <w:trPr/>
        <w:tc>
          <w:tcPr>
            <w:tcW w:w="2370"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DO B.V.</w:t>
            </w:r>
          </w:p>
        </w:tc>
      </w:tr>
      <w:tr>
        <w:trPr/>
        <w:tc>
          <w:tcPr>
            <w:tcW w:w="2370" w:type="dxa"/>
            <w:tcBorders/>
            <w:vAlign w:val="center"/>
          </w:tcPr>
          <w:p>
            <w:pPr>
              <w:pStyle w:val="TableContents"/>
              <w:bidi w:val="0"/>
              <w:spacing w:before="0" w:after="283"/>
              <w:jc w:val="left"/>
              <w:rPr/>
            </w:pPr>
            <w:r>
              <w:rPr/>
              <w:t>2</w:t>
            </w:r>
          </w:p>
        </w:tc>
        <w:tc>
          <w:tcPr>
            <w:tcW w:w="78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70" w:type="dxa"/>
            <w:tcBorders/>
            <w:vAlign w:val="center"/>
          </w:tcPr>
          <w:p>
            <w:pPr>
              <w:pStyle w:val="TableContents"/>
              <w:bidi w:val="0"/>
              <w:spacing w:before="0" w:after="283"/>
              <w:jc w:val="left"/>
              <w:rPr/>
            </w:pPr>
            <w:r>
              <w:rPr/>
              <w:t>3</w:t>
            </w:r>
          </w:p>
        </w:tc>
        <w:tc>
          <w:tcPr>
            <w:tcW w:w="7835" w:type="dxa"/>
            <w:tcBorders/>
            <w:vAlign w:val="center"/>
          </w:tcPr>
          <w:p>
            <w:pPr>
              <w:pStyle w:val="TableContents"/>
              <w:bidi w:val="0"/>
              <w:spacing w:before="0" w:after="283"/>
              <w:jc w:val="left"/>
              <w:rPr/>
            </w:pPr>
            <w:r>
              <w:rPr/>
              <w:t>SEC use only</w:t>
            </w:r>
          </w:p>
        </w:tc>
      </w:tr>
      <w:tr>
        <w:trPr/>
        <w:tc>
          <w:tcPr>
            <w:tcW w:w="2370" w:type="dxa"/>
            <w:tcBorders/>
            <w:vAlign w:val="center"/>
          </w:tcPr>
          <w:p>
            <w:pPr>
              <w:pStyle w:val="TableContents"/>
              <w:bidi w:val="0"/>
              <w:spacing w:before="0" w:after="283"/>
              <w:jc w:val="left"/>
              <w:rPr/>
            </w:pPr>
            <w:r>
              <w:rPr/>
              <w:t>4</w:t>
            </w:r>
          </w:p>
        </w:tc>
        <w:tc>
          <w:tcPr>
            <w:tcW w:w="78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70" w:type="dxa"/>
            <w:tcBorders/>
            <w:vAlign w:val="center"/>
          </w:tcPr>
          <w:p>
            <w:pPr>
              <w:pStyle w:val="TableContents"/>
              <w:bidi w:val="0"/>
              <w:spacing w:before="0" w:after="283"/>
              <w:jc w:val="left"/>
              <w:rPr/>
            </w:pPr>
            <w:r>
              <w:rPr/>
              <w:t>5</w:t>
            </w:r>
          </w:p>
        </w:tc>
        <w:tc>
          <w:tcPr>
            <w:tcW w:w="78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30,218,380.00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30,218,380.00</w:t>
                  </w:r>
                </w:p>
              </w:tc>
            </w:tr>
          </w:tbl>
          <w:p>
            <w:pPr>
              <w:pStyle w:val="TableContents"/>
              <w:bidi w:val="0"/>
              <w:spacing w:before="0" w:after="283"/>
              <w:jc w:val="left"/>
              <w:rPr/>
            </w:pPr>
            <w:r>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center"/>
          </w:tcPr>
          <w:p>
            <w:pPr>
              <w:pStyle w:val="TableContents"/>
              <w:bidi w:val="0"/>
              <w:spacing w:before="0" w:after="283"/>
              <w:jc w:val="left"/>
              <w:rPr/>
            </w:pPr>
            <w:r>
              <w:rPr/>
              <w:t>11</w:t>
            </w:r>
          </w:p>
        </w:tc>
        <w:tc>
          <w:tcPr>
            <w:tcW w:w="78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30,218,380.00</w:t>
            </w:r>
          </w:p>
        </w:tc>
      </w:tr>
      <w:tr>
        <w:trPr/>
        <w:tc>
          <w:tcPr>
            <w:tcW w:w="2370" w:type="dxa"/>
            <w:tcBorders/>
            <w:vAlign w:val="center"/>
          </w:tcPr>
          <w:p>
            <w:pPr>
              <w:pStyle w:val="TableContents"/>
              <w:bidi w:val="0"/>
              <w:spacing w:before="0" w:after="283"/>
              <w:jc w:val="left"/>
              <w:rPr/>
            </w:pPr>
            <w:r>
              <w:rPr/>
              <w:t>12</w:t>
            </w:r>
          </w:p>
        </w:tc>
        <w:tc>
          <w:tcPr>
            <w:tcW w:w="78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13</w:t>
            </w:r>
          </w:p>
        </w:tc>
        <w:tc>
          <w:tcPr>
            <w:tcW w:w="78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16.6 % </w:t>
            </w:r>
          </w:p>
        </w:tc>
      </w:tr>
      <w:tr>
        <w:trPr/>
        <w:tc>
          <w:tcPr>
            <w:tcW w:w="2370" w:type="dxa"/>
            <w:tcBorders/>
            <w:vAlign w:val="center"/>
          </w:tcPr>
          <w:p>
            <w:pPr>
              <w:pStyle w:val="TableContents"/>
              <w:bidi w:val="0"/>
              <w:spacing w:before="0" w:after="283"/>
              <w:jc w:val="left"/>
              <w:rPr/>
            </w:pPr>
            <w:r>
              <w:rPr/>
              <w:t>14</w:t>
            </w:r>
          </w:p>
        </w:tc>
        <w:tc>
          <w:tcPr>
            <w:tcW w:w="78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(DO) SPV GP, LLC</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(DO) SPV, L.P.</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70"/>
        <w:gridCol w:w="7835"/>
      </w:tblGrid>
      <w:tr>
        <w:trPr/>
        <w:tc>
          <w:tcPr>
            <w:tcW w:w="2370" w:type="dxa"/>
            <w:tcBorders/>
            <w:vAlign w:val="center"/>
          </w:tcPr>
          <w:p>
            <w:pPr>
              <w:pStyle w:val="TableContents"/>
              <w:bidi w:val="0"/>
              <w:spacing w:before="0" w:after="283"/>
              <w:jc w:val="left"/>
              <w:rPr/>
            </w:pPr>
            <w:r>
              <w:rPr/>
              <w:t>1</w:t>
            </w:r>
          </w:p>
        </w:tc>
        <w:tc>
          <w:tcPr>
            <w:tcW w:w="783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Cooperatief U.A.</w:t>
            </w:r>
          </w:p>
        </w:tc>
      </w:tr>
      <w:tr>
        <w:trPr/>
        <w:tc>
          <w:tcPr>
            <w:tcW w:w="2370" w:type="dxa"/>
            <w:tcBorders/>
            <w:vAlign w:val="center"/>
          </w:tcPr>
          <w:p>
            <w:pPr>
              <w:pStyle w:val="TableContents"/>
              <w:bidi w:val="0"/>
              <w:spacing w:before="0" w:after="283"/>
              <w:jc w:val="left"/>
              <w:rPr/>
            </w:pPr>
            <w:r>
              <w:rPr/>
              <w:t>2</w:t>
            </w:r>
          </w:p>
        </w:tc>
        <w:tc>
          <w:tcPr>
            <w:tcW w:w="78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70" w:type="dxa"/>
            <w:tcBorders/>
            <w:vAlign w:val="center"/>
          </w:tcPr>
          <w:p>
            <w:pPr>
              <w:pStyle w:val="TableContents"/>
              <w:bidi w:val="0"/>
              <w:spacing w:before="0" w:after="283"/>
              <w:jc w:val="left"/>
              <w:rPr/>
            </w:pPr>
            <w:r>
              <w:rPr/>
              <w:t>3</w:t>
            </w:r>
          </w:p>
        </w:tc>
        <w:tc>
          <w:tcPr>
            <w:tcW w:w="7835" w:type="dxa"/>
            <w:tcBorders/>
            <w:vAlign w:val="center"/>
          </w:tcPr>
          <w:p>
            <w:pPr>
              <w:pStyle w:val="TableContents"/>
              <w:bidi w:val="0"/>
              <w:spacing w:before="0" w:after="283"/>
              <w:jc w:val="left"/>
              <w:rPr/>
            </w:pPr>
            <w:r>
              <w:rPr/>
              <w:t>SEC use only</w:t>
            </w:r>
          </w:p>
        </w:tc>
      </w:tr>
      <w:tr>
        <w:trPr/>
        <w:tc>
          <w:tcPr>
            <w:tcW w:w="2370" w:type="dxa"/>
            <w:tcBorders/>
            <w:vAlign w:val="center"/>
          </w:tcPr>
          <w:p>
            <w:pPr>
              <w:pStyle w:val="TableContents"/>
              <w:bidi w:val="0"/>
              <w:spacing w:before="0" w:after="283"/>
              <w:jc w:val="left"/>
              <w:rPr/>
            </w:pPr>
            <w:r>
              <w:rPr/>
              <w:t>4</w:t>
            </w:r>
          </w:p>
        </w:tc>
        <w:tc>
          <w:tcPr>
            <w:tcW w:w="783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70" w:type="dxa"/>
            <w:tcBorders/>
            <w:vAlign w:val="center"/>
          </w:tcPr>
          <w:p>
            <w:pPr>
              <w:pStyle w:val="TableContents"/>
              <w:bidi w:val="0"/>
              <w:spacing w:before="0" w:after="283"/>
              <w:jc w:val="left"/>
              <w:rPr/>
            </w:pPr>
            <w:r>
              <w:rPr/>
              <w:t>5</w:t>
            </w:r>
          </w:p>
        </w:tc>
        <w:tc>
          <w:tcPr>
            <w:tcW w:w="783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6</w:t>
            </w:r>
          </w:p>
        </w:tc>
        <w:tc>
          <w:tcPr>
            <w:tcW w:w="78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37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30,218,380.00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30,218,380.00</w:t>
                  </w:r>
                </w:p>
              </w:tc>
            </w:tr>
          </w:tbl>
          <w:p>
            <w:pPr>
              <w:pStyle w:val="TableContents"/>
              <w:bidi w:val="0"/>
              <w:spacing w:before="0" w:after="283"/>
              <w:jc w:val="left"/>
              <w:rPr/>
            </w:pPr>
            <w:r>
              <w:rPr/>
            </w:r>
          </w:p>
        </w:tc>
        <w:tc>
          <w:tcPr>
            <w:tcW w:w="7835" w:type="dxa"/>
            <w:tcBorders/>
            <w:vAlign w:val="center"/>
          </w:tcPr>
          <w:p>
            <w:pPr>
              <w:pStyle w:val="TableContents"/>
              <w:bidi w:val="0"/>
              <w:spacing w:before="0" w:after="283"/>
              <w:jc w:val="left"/>
              <w:rPr>
                <w:sz w:val="4"/>
                <w:szCs w:val="4"/>
              </w:rPr>
            </w:pPr>
            <w:r>
              <w:rPr>
                <w:sz w:val="4"/>
                <w:szCs w:val="4"/>
              </w:rPr>
            </w:r>
          </w:p>
        </w:tc>
      </w:tr>
      <w:tr>
        <w:trPr/>
        <w:tc>
          <w:tcPr>
            <w:tcW w:w="2370" w:type="dxa"/>
            <w:tcBorders/>
            <w:vAlign w:val="center"/>
          </w:tcPr>
          <w:p>
            <w:pPr>
              <w:pStyle w:val="TableContents"/>
              <w:bidi w:val="0"/>
              <w:spacing w:before="0" w:after="283"/>
              <w:jc w:val="left"/>
              <w:rPr/>
            </w:pPr>
            <w:r>
              <w:rPr/>
              <w:t>11</w:t>
            </w:r>
          </w:p>
        </w:tc>
        <w:tc>
          <w:tcPr>
            <w:tcW w:w="78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30,218,380.00</w:t>
            </w:r>
          </w:p>
        </w:tc>
      </w:tr>
      <w:tr>
        <w:trPr/>
        <w:tc>
          <w:tcPr>
            <w:tcW w:w="2370" w:type="dxa"/>
            <w:tcBorders/>
            <w:vAlign w:val="center"/>
          </w:tcPr>
          <w:p>
            <w:pPr>
              <w:pStyle w:val="TableContents"/>
              <w:bidi w:val="0"/>
              <w:spacing w:before="0" w:after="283"/>
              <w:jc w:val="left"/>
              <w:rPr/>
            </w:pPr>
            <w:r>
              <w:rPr/>
              <w:t>12</w:t>
            </w:r>
          </w:p>
        </w:tc>
        <w:tc>
          <w:tcPr>
            <w:tcW w:w="783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70" w:type="dxa"/>
            <w:tcBorders/>
            <w:vAlign w:val="center"/>
          </w:tcPr>
          <w:p>
            <w:pPr>
              <w:pStyle w:val="TableContents"/>
              <w:bidi w:val="0"/>
              <w:spacing w:before="0" w:after="283"/>
              <w:jc w:val="left"/>
              <w:rPr/>
            </w:pPr>
            <w:r>
              <w:rPr/>
              <w:t>13</w:t>
            </w:r>
          </w:p>
        </w:tc>
        <w:tc>
          <w:tcPr>
            <w:tcW w:w="783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17.6 % </w:t>
            </w:r>
          </w:p>
        </w:tc>
      </w:tr>
      <w:tr>
        <w:trPr/>
        <w:tc>
          <w:tcPr>
            <w:tcW w:w="2370" w:type="dxa"/>
            <w:tcBorders/>
            <w:vAlign w:val="center"/>
          </w:tcPr>
          <w:p>
            <w:pPr>
              <w:pStyle w:val="TableContents"/>
              <w:bidi w:val="0"/>
              <w:spacing w:before="0" w:after="283"/>
              <w:jc w:val="left"/>
              <w:rPr/>
            </w:pPr>
            <w:r>
              <w:rPr/>
              <w:t>14</w:t>
            </w:r>
          </w:p>
        </w:tc>
        <w:tc>
          <w:tcPr>
            <w:tcW w:w="78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Partners (Bermuda) IV,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30,218,380.00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30,218,380.00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30,218,380.00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Partners (Bermuda) EU,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36,814,136.00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36,814,136.00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36,814,136.00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374"/>
        <w:gridCol w:w="7831"/>
      </w:tblGrid>
      <w:tr>
        <w:trPr/>
        <w:tc>
          <w:tcPr>
            <w:tcW w:w="2374" w:type="dxa"/>
            <w:tcBorders/>
            <w:vAlign w:val="center"/>
          </w:tcPr>
          <w:p>
            <w:pPr>
              <w:pStyle w:val="TableContents"/>
              <w:bidi w:val="0"/>
              <w:spacing w:before="0" w:after="283"/>
              <w:jc w:val="left"/>
              <w:rPr/>
            </w:pPr>
            <w:r>
              <w:rPr/>
              <w:t>1</w:t>
            </w:r>
          </w:p>
        </w:tc>
        <w:tc>
          <w:tcPr>
            <w:tcW w:w="783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Partners (Lux) SCSp</w:t>
            </w:r>
          </w:p>
        </w:tc>
      </w:tr>
      <w:tr>
        <w:trPr/>
        <w:tc>
          <w:tcPr>
            <w:tcW w:w="2374" w:type="dxa"/>
            <w:tcBorders/>
            <w:vAlign w:val="center"/>
          </w:tcPr>
          <w:p>
            <w:pPr>
              <w:pStyle w:val="TableContents"/>
              <w:bidi w:val="0"/>
              <w:spacing w:before="0" w:after="283"/>
              <w:jc w:val="left"/>
              <w:rPr/>
            </w:pPr>
            <w:r>
              <w:rPr/>
              <w:t>2</w:t>
            </w:r>
          </w:p>
        </w:tc>
        <w:tc>
          <w:tcPr>
            <w:tcW w:w="783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374" w:type="dxa"/>
            <w:tcBorders/>
            <w:vAlign w:val="center"/>
          </w:tcPr>
          <w:p>
            <w:pPr>
              <w:pStyle w:val="TableContents"/>
              <w:bidi w:val="0"/>
              <w:spacing w:before="0" w:after="283"/>
              <w:jc w:val="left"/>
              <w:rPr/>
            </w:pPr>
            <w:r>
              <w:rPr/>
              <w:t>3</w:t>
            </w:r>
          </w:p>
        </w:tc>
        <w:tc>
          <w:tcPr>
            <w:tcW w:w="7831" w:type="dxa"/>
            <w:tcBorders/>
            <w:vAlign w:val="center"/>
          </w:tcPr>
          <w:p>
            <w:pPr>
              <w:pStyle w:val="TableContents"/>
              <w:bidi w:val="0"/>
              <w:spacing w:before="0" w:after="283"/>
              <w:jc w:val="left"/>
              <w:rPr/>
            </w:pPr>
            <w:r>
              <w:rPr/>
              <w:t>SEC use only</w:t>
            </w:r>
          </w:p>
        </w:tc>
      </w:tr>
      <w:tr>
        <w:trPr/>
        <w:tc>
          <w:tcPr>
            <w:tcW w:w="2374" w:type="dxa"/>
            <w:tcBorders/>
            <w:vAlign w:val="center"/>
          </w:tcPr>
          <w:p>
            <w:pPr>
              <w:pStyle w:val="TableContents"/>
              <w:bidi w:val="0"/>
              <w:spacing w:before="0" w:after="283"/>
              <w:jc w:val="left"/>
              <w:rPr/>
            </w:pPr>
            <w:r>
              <w:rPr/>
              <w:t>4</w:t>
            </w:r>
          </w:p>
        </w:tc>
        <w:tc>
          <w:tcPr>
            <w:tcW w:w="783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74" w:type="dxa"/>
            <w:tcBorders/>
            <w:vAlign w:val="center"/>
          </w:tcPr>
          <w:p>
            <w:pPr>
              <w:pStyle w:val="TableContents"/>
              <w:bidi w:val="0"/>
              <w:spacing w:before="0" w:after="283"/>
              <w:jc w:val="left"/>
              <w:rPr/>
            </w:pPr>
            <w:r>
              <w:rPr/>
              <w:t>5</w:t>
            </w:r>
          </w:p>
        </w:tc>
        <w:tc>
          <w:tcPr>
            <w:tcW w:w="783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6</w:t>
            </w:r>
          </w:p>
        </w:tc>
        <w:tc>
          <w:tcPr>
            <w:tcW w:w="783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37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36,814,136.00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36,814,136.00</w:t>
                  </w:r>
                </w:p>
              </w:tc>
            </w:tr>
          </w:tbl>
          <w:p>
            <w:pPr>
              <w:pStyle w:val="TableContents"/>
              <w:bidi w:val="0"/>
              <w:spacing w:before="0" w:after="283"/>
              <w:jc w:val="left"/>
              <w:rPr/>
            </w:pPr>
            <w:r>
              <w:rPr/>
            </w:r>
          </w:p>
        </w:tc>
        <w:tc>
          <w:tcPr>
            <w:tcW w:w="7831" w:type="dxa"/>
            <w:tcBorders/>
            <w:vAlign w:val="center"/>
          </w:tcPr>
          <w:p>
            <w:pPr>
              <w:pStyle w:val="TableContents"/>
              <w:bidi w:val="0"/>
              <w:spacing w:before="0" w:after="283"/>
              <w:jc w:val="left"/>
              <w:rPr>
                <w:sz w:val="4"/>
                <w:szCs w:val="4"/>
              </w:rPr>
            </w:pPr>
            <w:r>
              <w:rPr>
                <w:sz w:val="4"/>
                <w:szCs w:val="4"/>
              </w:rPr>
            </w:r>
          </w:p>
        </w:tc>
      </w:tr>
      <w:tr>
        <w:trPr/>
        <w:tc>
          <w:tcPr>
            <w:tcW w:w="2374" w:type="dxa"/>
            <w:tcBorders/>
            <w:vAlign w:val="center"/>
          </w:tcPr>
          <w:p>
            <w:pPr>
              <w:pStyle w:val="TableContents"/>
              <w:bidi w:val="0"/>
              <w:spacing w:before="0" w:after="283"/>
              <w:jc w:val="left"/>
              <w:rPr/>
            </w:pPr>
            <w:r>
              <w:rPr/>
              <w:t>11</w:t>
            </w:r>
          </w:p>
        </w:tc>
        <w:tc>
          <w:tcPr>
            <w:tcW w:w="783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36,814,136.00</w:t>
            </w:r>
          </w:p>
        </w:tc>
      </w:tr>
      <w:tr>
        <w:trPr/>
        <w:tc>
          <w:tcPr>
            <w:tcW w:w="2374" w:type="dxa"/>
            <w:tcBorders/>
            <w:vAlign w:val="center"/>
          </w:tcPr>
          <w:p>
            <w:pPr>
              <w:pStyle w:val="TableContents"/>
              <w:bidi w:val="0"/>
              <w:spacing w:before="0" w:after="283"/>
              <w:jc w:val="left"/>
              <w:rPr/>
            </w:pPr>
            <w:r>
              <w:rPr/>
              <w:t>12</w:t>
            </w:r>
          </w:p>
        </w:tc>
        <w:tc>
          <w:tcPr>
            <w:tcW w:w="783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13</w:t>
            </w:r>
          </w:p>
        </w:tc>
        <w:tc>
          <w:tcPr>
            <w:tcW w:w="783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21.4 % </w:t>
            </w:r>
          </w:p>
        </w:tc>
      </w:tr>
      <w:tr>
        <w:trPr/>
        <w:tc>
          <w:tcPr>
            <w:tcW w:w="2374" w:type="dxa"/>
            <w:tcBorders/>
            <w:vAlign w:val="center"/>
          </w:tcPr>
          <w:p>
            <w:pPr>
              <w:pStyle w:val="TableContents"/>
              <w:bidi w:val="0"/>
              <w:spacing w:before="0" w:after="283"/>
              <w:jc w:val="left"/>
              <w:rPr/>
            </w:pPr>
            <w:r>
              <w:rPr/>
              <w:t>14</w:t>
            </w:r>
          </w:p>
        </w:tc>
        <w:tc>
          <w:tcPr>
            <w:tcW w:w="783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Cooperatief,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30,218,380.00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30,218,380.00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30,218,380.00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GAP (Bermuda)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36,814,136.00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36,814,136.00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36,814,136.00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393"/>
        <w:gridCol w:w="7812"/>
      </w:tblGrid>
      <w:tr>
        <w:trPr/>
        <w:tc>
          <w:tcPr>
            <w:tcW w:w="2393" w:type="dxa"/>
            <w:tcBorders/>
            <w:vAlign w:val="center"/>
          </w:tcPr>
          <w:p>
            <w:pPr>
              <w:pStyle w:val="TableContents"/>
              <w:bidi w:val="0"/>
              <w:spacing w:before="0" w:after="283"/>
              <w:jc w:val="left"/>
              <w:rPr/>
            </w:pPr>
            <w:r>
              <w:rPr/>
              <w:t>1</w:t>
            </w:r>
          </w:p>
        </w:tc>
        <w:tc>
          <w:tcPr>
            <w:tcW w:w="781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GAP Coinvestments III, LLC</w:t>
            </w:r>
          </w:p>
        </w:tc>
      </w:tr>
      <w:tr>
        <w:trPr/>
        <w:tc>
          <w:tcPr>
            <w:tcW w:w="2393" w:type="dxa"/>
            <w:tcBorders/>
            <w:vAlign w:val="center"/>
          </w:tcPr>
          <w:p>
            <w:pPr>
              <w:pStyle w:val="TableContents"/>
              <w:bidi w:val="0"/>
              <w:spacing w:before="0" w:after="283"/>
              <w:jc w:val="left"/>
              <w:rPr/>
            </w:pPr>
            <w:r>
              <w:rPr/>
              <w:t>2</w:t>
            </w:r>
          </w:p>
        </w:tc>
        <w:tc>
          <w:tcPr>
            <w:tcW w:w="78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(b) </w:t>
            </w:r>
          </w:p>
        </w:tc>
      </w:tr>
      <w:tr>
        <w:trPr/>
        <w:tc>
          <w:tcPr>
            <w:tcW w:w="2393" w:type="dxa"/>
            <w:tcBorders/>
            <w:vAlign w:val="center"/>
          </w:tcPr>
          <w:p>
            <w:pPr>
              <w:pStyle w:val="TableContents"/>
              <w:bidi w:val="0"/>
              <w:spacing w:before="0" w:after="283"/>
              <w:jc w:val="left"/>
              <w:rPr/>
            </w:pPr>
            <w:r>
              <w:rPr/>
              <w:t>3</w:t>
            </w:r>
          </w:p>
        </w:tc>
        <w:tc>
          <w:tcPr>
            <w:tcW w:w="7812" w:type="dxa"/>
            <w:tcBorders/>
            <w:vAlign w:val="center"/>
          </w:tcPr>
          <w:p>
            <w:pPr>
              <w:pStyle w:val="TableContents"/>
              <w:bidi w:val="0"/>
              <w:spacing w:before="0" w:after="283"/>
              <w:jc w:val="left"/>
              <w:rPr/>
            </w:pPr>
            <w:r>
              <w:rPr/>
              <w:t>SEC use only</w:t>
            </w:r>
          </w:p>
        </w:tc>
      </w:tr>
      <w:tr>
        <w:trPr/>
        <w:tc>
          <w:tcPr>
            <w:tcW w:w="2393" w:type="dxa"/>
            <w:tcBorders/>
            <w:vAlign w:val="center"/>
          </w:tcPr>
          <w:p>
            <w:pPr>
              <w:pStyle w:val="TableContents"/>
              <w:bidi w:val="0"/>
              <w:spacing w:before="0" w:after="283"/>
              <w:jc w:val="left"/>
              <w:rPr/>
            </w:pPr>
            <w:r>
              <w:rPr/>
              <w:t>4</w:t>
            </w:r>
          </w:p>
        </w:tc>
        <w:tc>
          <w:tcPr>
            <w:tcW w:w="781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3" w:type="dxa"/>
            <w:tcBorders/>
            <w:vAlign w:val="center"/>
          </w:tcPr>
          <w:p>
            <w:pPr>
              <w:pStyle w:val="TableContents"/>
              <w:bidi w:val="0"/>
              <w:spacing w:before="0" w:after="283"/>
              <w:jc w:val="left"/>
              <w:rPr/>
            </w:pPr>
            <w:r>
              <w:rPr/>
              <w:t>5</w:t>
            </w:r>
          </w:p>
        </w:tc>
        <w:tc>
          <w:tcPr>
            <w:tcW w:w="781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r>
      <w:tr>
        <w:trPr/>
        <w:tc>
          <w:tcPr>
            <w:tcW w:w="2393" w:type="dxa"/>
            <w:tcBorders/>
            <w:vAlign w:val="center"/>
          </w:tcPr>
          <w:p>
            <w:pPr>
              <w:pStyle w:val="TableContents"/>
              <w:bidi w:val="0"/>
              <w:spacing w:before="0" w:after="283"/>
              <w:jc w:val="left"/>
              <w:rPr/>
            </w:pPr>
            <w:r>
              <w:rPr/>
              <w:t>6</w:t>
            </w:r>
          </w:p>
        </w:tc>
        <w:tc>
          <w:tcPr>
            <w:tcW w:w="78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36,814,136.00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36,814,136.00</w:t>
                  </w:r>
                </w:p>
              </w:tc>
            </w:tr>
          </w:tbl>
          <w:p>
            <w:pPr>
              <w:pStyle w:val="TableContents"/>
              <w:bidi w:val="0"/>
              <w:spacing w:before="0" w:after="283"/>
              <w:jc w:val="left"/>
              <w:rPr/>
            </w:pPr>
            <w:r>
              <w:rPr/>
            </w:r>
          </w:p>
        </w:tc>
        <w:tc>
          <w:tcPr>
            <w:tcW w:w="7812" w:type="dxa"/>
            <w:tcBorders/>
            <w:vAlign w:val="center"/>
          </w:tcPr>
          <w:p>
            <w:pPr>
              <w:pStyle w:val="TableContents"/>
              <w:bidi w:val="0"/>
              <w:spacing w:before="0" w:after="283"/>
              <w:jc w:val="left"/>
              <w:rPr>
                <w:sz w:val="4"/>
                <w:szCs w:val="4"/>
              </w:rPr>
            </w:pPr>
            <w:r>
              <w:rPr>
                <w:sz w:val="4"/>
                <w:szCs w:val="4"/>
              </w:rPr>
            </w:r>
          </w:p>
        </w:tc>
      </w:tr>
      <w:tr>
        <w:trPr/>
        <w:tc>
          <w:tcPr>
            <w:tcW w:w="2393" w:type="dxa"/>
            <w:tcBorders/>
            <w:vAlign w:val="center"/>
          </w:tcPr>
          <w:p>
            <w:pPr>
              <w:pStyle w:val="TableContents"/>
              <w:bidi w:val="0"/>
              <w:spacing w:before="0" w:after="283"/>
              <w:jc w:val="left"/>
              <w:rPr/>
            </w:pPr>
            <w:r>
              <w:rPr/>
              <w:t>11</w:t>
            </w:r>
          </w:p>
        </w:tc>
        <w:tc>
          <w:tcPr>
            <w:tcW w:w="78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36,814,136.00</w:t>
            </w:r>
          </w:p>
        </w:tc>
      </w:tr>
      <w:tr>
        <w:trPr/>
        <w:tc>
          <w:tcPr>
            <w:tcW w:w="2393" w:type="dxa"/>
            <w:tcBorders/>
            <w:vAlign w:val="center"/>
          </w:tcPr>
          <w:p>
            <w:pPr>
              <w:pStyle w:val="TableContents"/>
              <w:bidi w:val="0"/>
              <w:spacing w:before="0" w:after="283"/>
              <w:jc w:val="left"/>
              <w:rPr/>
            </w:pPr>
            <w:r>
              <w:rPr/>
              <w:t>12</w:t>
            </w:r>
          </w:p>
        </w:tc>
        <w:tc>
          <w:tcPr>
            <w:tcW w:w="781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393" w:type="dxa"/>
            <w:tcBorders/>
            <w:vAlign w:val="center"/>
          </w:tcPr>
          <w:p>
            <w:pPr>
              <w:pStyle w:val="TableContents"/>
              <w:bidi w:val="0"/>
              <w:spacing w:before="0" w:after="283"/>
              <w:jc w:val="left"/>
              <w:rPr/>
            </w:pPr>
            <w:r>
              <w:rPr/>
              <w:t>13</w:t>
            </w:r>
          </w:p>
        </w:tc>
        <w:tc>
          <w:tcPr>
            <w:tcW w:w="781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21.4 % </w:t>
            </w:r>
          </w:p>
        </w:tc>
      </w:tr>
      <w:tr>
        <w:trPr/>
        <w:tc>
          <w:tcPr>
            <w:tcW w:w="2393" w:type="dxa"/>
            <w:tcBorders/>
            <w:vAlign w:val="center"/>
          </w:tcPr>
          <w:p>
            <w:pPr>
              <w:pStyle w:val="TableContents"/>
              <w:bidi w:val="0"/>
              <w:spacing w:before="0" w:after="283"/>
              <w:jc w:val="left"/>
              <w:rPr/>
            </w:pPr>
            <w:r>
              <w:rPr/>
              <w:t>14</w:t>
            </w:r>
          </w:p>
        </w:tc>
        <w:tc>
          <w:tcPr>
            <w:tcW w:w="78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393"/>
        <w:gridCol w:w="7812"/>
      </w:tblGrid>
      <w:tr>
        <w:trPr/>
        <w:tc>
          <w:tcPr>
            <w:tcW w:w="2393" w:type="dxa"/>
            <w:tcBorders/>
            <w:vAlign w:val="center"/>
          </w:tcPr>
          <w:p>
            <w:pPr>
              <w:pStyle w:val="TableContents"/>
              <w:bidi w:val="0"/>
              <w:spacing w:before="0" w:after="283"/>
              <w:jc w:val="left"/>
              <w:rPr/>
            </w:pPr>
            <w:r>
              <w:rPr/>
              <w:t>1</w:t>
            </w:r>
          </w:p>
        </w:tc>
        <w:tc>
          <w:tcPr>
            <w:tcW w:w="781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GAP Coinvestments IV, LLC</w:t>
            </w:r>
          </w:p>
        </w:tc>
      </w:tr>
      <w:tr>
        <w:trPr/>
        <w:tc>
          <w:tcPr>
            <w:tcW w:w="2393" w:type="dxa"/>
            <w:tcBorders/>
            <w:vAlign w:val="center"/>
          </w:tcPr>
          <w:p>
            <w:pPr>
              <w:pStyle w:val="TableContents"/>
              <w:bidi w:val="0"/>
              <w:spacing w:before="0" w:after="283"/>
              <w:jc w:val="left"/>
              <w:rPr/>
            </w:pPr>
            <w:r>
              <w:rPr/>
              <w:t>2</w:t>
            </w:r>
          </w:p>
        </w:tc>
        <w:tc>
          <w:tcPr>
            <w:tcW w:w="78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393" w:type="dxa"/>
            <w:tcBorders/>
            <w:vAlign w:val="center"/>
          </w:tcPr>
          <w:p>
            <w:pPr>
              <w:pStyle w:val="TableContents"/>
              <w:bidi w:val="0"/>
              <w:spacing w:before="0" w:after="283"/>
              <w:jc w:val="left"/>
              <w:rPr/>
            </w:pPr>
            <w:r>
              <w:rPr/>
              <w:t>3</w:t>
            </w:r>
          </w:p>
        </w:tc>
        <w:tc>
          <w:tcPr>
            <w:tcW w:w="7812" w:type="dxa"/>
            <w:tcBorders/>
            <w:vAlign w:val="center"/>
          </w:tcPr>
          <w:p>
            <w:pPr>
              <w:pStyle w:val="TableContents"/>
              <w:bidi w:val="0"/>
              <w:spacing w:before="0" w:after="283"/>
              <w:jc w:val="left"/>
              <w:rPr/>
            </w:pPr>
            <w:r>
              <w:rPr/>
              <w:t>SEC use only</w:t>
            </w:r>
          </w:p>
        </w:tc>
      </w:tr>
      <w:tr>
        <w:trPr/>
        <w:tc>
          <w:tcPr>
            <w:tcW w:w="2393" w:type="dxa"/>
            <w:tcBorders/>
            <w:vAlign w:val="center"/>
          </w:tcPr>
          <w:p>
            <w:pPr>
              <w:pStyle w:val="TableContents"/>
              <w:bidi w:val="0"/>
              <w:spacing w:before="0" w:after="283"/>
              <w:jc w:val="left"/>
              <w:rPr/>
            </w:pPr>
            <w:r>
              <w:rPr/>
              <w:t>4</w:t>
            </w:r>
          </w:p>
        </w:tc>
        <w:tc>
          <w:tcPr>
            <w:tcW w:w="781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3" w:type="dxa"/>
            <w:tcBorders/>
            <w:vAlign w:val="center"/>
          </w:tcPr>
          <w:p>
            <w:pPr>
              <w:pStyle w:val="TableContents"/>
              <w:bidi w:val="0"/>
              <w:spacing w:before="0" w:after="283"/>
              <w:jc w:val="left"/>
              <w:rPr/>
            </w:pPr>
            <w:r>
              <w:rPr/>
              <w:t>5</w:t>
            </w:r>
          </w:p>
        </w:tc>
        <w:tc>
          <w:tcPr>
            <w:tcW w:w="781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393" w:type="dxa"/>
            <w:tcBorders/>
            <w:vAlign w:val="center"/>
          </w:tcPr>
          <w:p>
            <w:pPr>
              <w:pStyle w:val="TableContents"/>
              <w:bidi w:val="0"/>
              <w:spacing w:before="0" w:after="283"/>
              <w:jc w:val="left"/>
              <w:rPr/>
            </w:pPr>
            <w:r>
              <w:rPr/>
              <w:t>6</w:t>
            </w:r>
          </w:p>
        </w:tc>
        <w:tc>
          <w:tcPr>
            <w:tcW w:w="78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36,814,136.00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36,814,136.00</w:t>
                  </w:r>
                </w:p>
              </w:tc>
            </w:tr>
          </w:tbl>
          <w:p>
            <w:pPr>
              <w:pStyle w:val="TableContents"/>
              <w:bidi w:val="0"/>
              <w:spacing w:before="0" w:after="283"/>
              <w:jc w:val="left"/>
              <w:rPr/>
            </w:pPr>
            <w:r>
              <w:rPr/>
            </w:r>
          </w:p>
        </w:tc>
        <w:tc>
          <w:tcPr>
            <w:tcW w:w="7812" w:type="dxa"/>
            <w:tcBorders/>
            <w:vAlign w:val="center"/>
          </w:tcPr>
          <w:p>
            <w:pPr>
              <w:pStyle w:val="TableContents"/>
              <w:bidi w:val="0"/>
              <w:spacing w:before="0" w:after="283"/>
              <w:jc w:val="left"/>
              <w:rPr>
                <w:sz w:val="4"/>
                <w:szCs w:val="4"/>
              </w:rPr>
            </w:pPr>
            <w:r>
              <w:rPr>
                <w:sz w:val="4"/>
                <w:szCs w:val="4"/>
              </w:rPr>
            </w:r>
          </w:p>
        </w:tc>
      </w:tr>
      <w:tr>
        <w:trPr/>
        <w:tc>
          <w:tcPr>
            <w:tcW w:w="2393" w:type="dxa"/>
            <w:tcBorders/>
            <w:vAlign w:val="center"/>
          </w:tcPr>
          <w:p>
            <w:pPr>
              <w:pStyle w:val="TableContents"/>
              <w:bidi w:val="0"/>
              <w:spacing w:before="0" w:after="283"/>
              <w:jc w:val="left"/>
              <w:rPr/>
            </w:pPr>
            <w:r>
              <w:rPr/>
              <w:t>11</w:t>
            </w:r>
          </w:p>
        </w:tc>
        <w:tc>
          <w:tcPr>
            <w:tcW w:w="78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36,814,136.00</w:t>
            </w:r>
          </w:p>
        </w:tc>
      </w:tr>
      <w:tr>
        <w:trPr/>
        <w:tc>
          <w:tcPr>
            <w:tcW w:w="2393" w:type="dxa"/>
            <w:tcBorders/>
            <w:vAlign w:val="center"/>
          </w:tcPr>
          <w:p>
            <w:pPr>
              <w:pStyle w:val="TableContents"/>
              <w:bidi w:val="0"/>
              <w:spacing w:before="0" w:after="283"/>
              <w:jc w:val="left"/>
              <w:rPr/>
            </w:pPr>
            <w:r>
              <w:rPr/>
              <w:t>12</w:t>
            </w:r>
          </w:p>
        </w:tc>
        <w:tc>
          <w:tcPr>
            <w:tcW w:w="781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r>
      <w:tr>
        <w:trPr/>
        <w:tc>
          <w:tcPr>
            <w:tcW w:w="2393" w:type="dxa"/>
            <w:tcBorders/>
            <w:vAlign w:val="center"/>
          </w:tcPr>
          <w:p>
            <w:pPr>
              <w:pStyle w:val="TableContents"/>
              <w:bidi w:val="0"/>
              <w:spacing w:before="0" w:after="283"/>
              <w:jc w:val="left"/>
              <w:rPr/>
            </w:pPr>
            <w:r>
              <w:rPr/>
              <w:t>13</w:t>
            </w:r>
          </w:p>
        </w:tc>
        <w:tc>
          <w:tcPr>
            <w:tcW w:w="781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21.4 % </w:t>
            </w:r>
          </w:p>
        </w:tc>
      </w:tr>
      <w:tr>
        <w:trPr/>
        <w:tc>
          <w:tcPr>
            <w:tcW w:w="2393" w:type="dxa"/>
            <w:tcBorders/>
            <w:vAlign w:val="center"/>
          </w:tcPr>
          <w:p>
            <w:pPr>
              <w:pStyle w:val="TableContents"/>
              <w:bidi w:val="0"/>
              <w:spacing w:before="0" w:after="283"/>
              <w:jc w:val="left"/>
              <w:rPr/>
            </w:pPr>
            <w:r>
              <w:rPr/>
              <w:t>14</w:t>
            </w:r>
          </w:p>
        </w:tc>
        <w:tc>
          <w:tcPr>
            <w:tcW w:w="78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393"/>
        <w:gridCol w:w="7812"/>
      </w:tblGrid>
      <w:tr>
        <w:trPr/>
        <w:tc>
          <w:tcPr>
            <w:tcW w:w="2393" w:type="dxa"/>
            <w:tcBorders/>
            <w:vAlign w:val="center"/>
          </w:tcPr>
          <w:p>
            <w:pPr>
              <w:pStyle w:val="TableContents"/>
              <w:bidi w:val="0"/>
              <w:spacing w:before="0" w:after="283"/>
              <w:jc w:val="left"/>
              <w:rPr/>
            </w:pPr>
            <w:r>
              <w:rPr/>
              <w:t>1</w:t>
            </w:r>
          </w:p>
        </w:tc>
        <w:tc>
          <w:tcPr>
            <w:tcW w:w="781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GAP Coinvestments V, LLC</w:t>
            </w:r>
          </w:p>
        </w:tc>
      </w:tr>
      <w:tr>
        <w:trPr/>
        <w:tc>
          <w:tcPr>
            <w:tcW w:w="2393" w:type="dxa"/>
            <w:tcBorders/>
            <w:vAlign w:val="center"/>
          </w:tcPr>
          <w:p>
            <w:pPr>
              <w:pStyle w:val="TableContents"/>
              <w:bidi w:val="0"/>
              <w:spacing w:before="0" w:after="283"/>
              <w:jc w:val="left"/>
              <w:rPr/>
            </w:pPr>
            <w:r>
              <w:rPr/>
              <w:t>2</w:t>
            </w:r>
          </w:p>
        </w:tc>
        <w:tc>
          <w:tcPr>
            <w:tcW w:w="78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xml:space="preserve">  (b) </w:t>
            </w:r>
          </w:p>
        </w:tc>
      </w:tr>
      <w:tr>
        <w:trPr/>
        <w:tc>
          <w:tcPr>
            <w:tcW w:w="2393" w:type="dxa"/>
            <w:tcBorders/>
            <w:vAlign w:val="center"/>
          </w:tcPr>
          <w:p>
            <w:pPr>
              <w:pStyle w:val="TableContents"/>
              <w:bidi w:val="0"/>
              <w:spacing w:before="0" w:after="283"/>
              <w:jc w:val="left"/>
              <w:rPr/>
            </w:pPr>
            <w:r>
              <w:rPr/>
              <w:t>3</w:t>
            </w:r>
          </w:p>
        </w:tc>
        <w:tc>
          <w:tcPr>
            <w:tcW w:w="7812" w:type="dxa"/>
            <w:tcBorders/>
            <w:vAlign w:val="center"/>
          </w:tcPr>
          <w:p>
            <w:pPr>
              <w:pStyle w:val="TableContents"/>
              <w:bidi w:val="0"/>
              <w:spacing w:before="0" w:after="283"/>
              <w:jc w:val="left"/>
              <w:rPr/>
            </w:pPr>
            <w:r>
              <w:rPr/>
              <w:t>SEC use only</w:t>
            </w:r>
          </w:p>
        </w:tc>
      </w:tr>
      <w:tr>
        <w:trPr/>
        <w:tc>
          <w:tcPr>
            <w:tcW w:w="2393" w:type="dxa"/>
            <w:tcBorders/>
            <w:vAlign w:val="center"/>
          </w:tcPr>
          <w:p>
            <w:pPr>
              <w:pStyle w:val="TableContents"/>
              <w:bidi w:val="0"/>
              <w:spacing w:before="0" w:after="283"/>
              <w:jc w:val="left"/>
              <w:rPr/>
            </w:pPr>
            <w:r>
              <w:rPr/>
              <w:t>4</w:t>
            </w:r>
          </w:p>
        </w:tc>
        <w:tc>
          <w:tcPr>
            <w:tcW w:w="781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3" w:type="dxa"/>
            <w:tcBorders/>
            <w:vAlign w:val="center"/>
          </w:tcPr>
          <w:p>
            <w:pPr>
              <w:pStyle w:val="TableContents"/>
              <w:bidi w:val="0"/>
              <w:spacing w:before="0" w:after="283"/>
              <w:jc w:val="left"/>
              <w:rPr/>
            </w:pPr>
            <w:r>
              <w:rPr/>
              <w:t>5</w:t>
            </w:r>
          </w:p>
        </w:tc>
        <w:tc>
          <w:tcPr>
            <w:tcW w:w="781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r>
      <w:tr>
        <w:trPr/>
        <w:tc>
          <w:tcPr>
            <w:tcW w:w="2393" w:type="dxa"/>
            <w:tcBorders/>
            <w:vAlign w:val="center"/>
          </w:tcPr>
          <w:p>
            <w:pPr>
              <w:pStyle w:val="TableContents"/>
              <w:bidi w:val="0"/>
              <w:spacing w:before="0" w:after="283"/>
              <w:jc w:val="left"/>
              <w:rPr/>
            </w:pPr>
            <w:r>
              <w:rPr/>
              <w:t>6</w:t>
            </w:r>
          </w:p>
        </w:tc>
        <w:tc>
          <w:tcPr>
            <w:tcW w:w="78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36,814,136.00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36,814,136.00</w:t>
                  </w:r>
                </w:p>
              </w:tc>
            </w:tr>
          </w:tbl>
          <w:p>
            <w:pPr>
              <w:pStyle w:val="TableContents"/>
              <w:bidi w:val="0"/>
              <w:spacing w:before="0" w:after="283"/>
              <w:jc w:val="left"/>
              <w:rPr/>
            </w:pPr>
            <w:r>
              <w:rPr/>
            </w:r>
          </w:p>
        </w:tc>
        <w:tc>
          <w:tcPr>
            <w:tcW w:w="7812" w:type="dxa"/>
            <w:tcBorders/>
            <w:vAlign w:val="center"/>
          </w:tcPr>
          <w:p>
            <w:pPr>
              <w:pStyle w:val="TableContents"/>
              <w:bidi w:val="0"/>
              <w:spacing w:before="0" w:after="283"/>
              <w:jc w:val="left"/>
              <w:rPr>
                <w:sz w:val="4"/>
                <w:szCs w:val="4"/>
              </w:rPr>
            </w:pPr>
            <w:r>
              <w:rPr>
                <w:sz w:val="4"/>
                <w:szCs w:val="4"/>
              </w:rPr>
            </w:r>
          </w:p>
        </w:tc>
      </w:tr>
      <w:tr>
        <w:trPr/>
        <w:tc>
          <w:tcPr>
            <w:tcW w:w="2393" w:type="dxa"/>
            <w:tcBorders/>
            <w:vAlign w:val="center"/>
          </w:tcPr>
          <w:p>
            <w:pPr>
              <w:pStyle w:val="TableContents"/>
              <w:bidi w:val="0"/>
              <w:spacing w:before="0" w:after="283"/>
              <w:jc w:val="left"/>
              <w:rPr/>
            </w:pPr>
            <w:r>
              <w:rPr/>
              <w:t>11</w:t>
            </w:r>
          </w:p>
        </w:tc>
        <w:tc>
          <w:tcPr>
            <w:tcW w:w="78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36,814,136.00</w:t>
            </w:r>
          </w:p>
        </w:tc>
      </w:tr>
      <w:tr>
        <w:trPr/>
        <w:tc>
          <w:tcPr>
            <w:tcW w:w="2393" w:type="dxa"/>
            <w:tcBorders/>
            <w:vAlign w:val="center"/>
          </w:tcPr>
          <w:p>
            <w:pPr>
              <w:pStyle w:val="TableContents"/>
              <w:bidi w:val="0"/>
              <w:spacing w:before="0" w:after="283"/>
              <w:jc w:val="left"/>
              <w:rPr/>
            </w:pPr>
            <w:r>
              <w:rPr/>
              <w:t>12</w:t>
            </w:r>
          </w:p>
        </w:tc>
        <w:tc>
          <w:tcPr>
            <w:tcW w:w="781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r>
      <w:tr>
        <w:trPr/>
        <w:tc>
          <w:tcPr>
            <w:tcW w:w="2393" w:type="dxa"/>
            <w:tcBorders/>
            <w:vAlign w:val="center"/>
          </w:tcPr>
          <w:p>
            <w:pPr>
              <w:pStyle w:val="TableContents"/>
              <w:bidi w:val="0"/>
              <w:spacing w:before="0" w:after="283"/>
              <w:jc w:val="left"/>
              <w:rPr/>
            </w:pPr>
            <w:r>
              <w:rPr/>
              <w:t>13</w:t>
            </w:r>
          </w:p>
        </w:tc>
        <w:tc>
          <w:tcPr>
            <w:tcW w:w="781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21.4 % </w:t>
            </w:r>
          </w:p>
        </w:tc>
      </w:tr>
      <w:tr>
        <w:trPr/>
        <w:tc>
          <w:tcPr>
            <w:tcW w:w="2393" w:type="dxa"/>
            <w:tcBorders/>
            <w:vAlign w:val="center"/>
          </w:tcPr>
          <w:p>
            <w:pPr>
              <w:pStyle w:val="TableContents"/>
              <w:bidi w:val="0"/>
              <w:spacing w:before="0" w:after="283"/>
              <w:jc w:val="left"/>
              <w:rPr/>
            </w:pPr>
            <w:r>
              <w:rPr/>
              <w:t>14</w:t>
            </w:r>
          </w:p>
        </w:tc>
        <w:tc>
          <w:tcPr>
            <w:tcW w:w="78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393"/>
        <w:gridCol w:w="7812"/>
      </w:tblGrid>
      <w:tr>
        <w:trPr/>
        <w:tc>
          <w:tcPr>
            <w:tcW w:w="2393" w:type="dxa"/>
            <w:tcBorders/>
            <w:vAlign w:val="center"/>
          </w:tcPr>
          <w:p>
            <w:pPr>
              <w:pStyle w:val="TableContents"/>
              <w:bidi w:val="0"/>
              <w:spacing w:before="0" w:after="283"/>
              <w:jc w:val="left"/>
              <w:rPr/>
            </w:pPr>
            <w:r>
              <w:rPr/>
              <w:t>1</w:t>
            </w:r>
          </w:p>
        </w:tc>
        <w:tc>
          <w:tcPr>
            <w:tcW w:w="781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GAP Coinvestments CDA, L.P.</w:t>
            </w:r>
          </w:p>
        </w:tc>
      </w:tr>
      <w:tr>
        <w:trPr/>
        <w:tc>
          <w:tcPr>
            <w:tcW w:w="2393" w:type="dxa"/>
            <w:tcBorders/>
            <w:vAlign w:val="center"/>
          </w:tcPr>
          <w:p>
            <w:pPr>
              <w:pStyle w:val="TableContents"/>
              <w:bidi w:val="0"/>
              <w:spacing w:before="0" w:after="283"/>
              <w:jc w:val="left"/>
              <w:rPr/>
            </w:pPr>
            <w:r>
              <w:rPr/>
              <w:t>2</w:t>
            </w:r>
          </w:p>
        </w:tc>
        <w:tc>
          <w:tcPr>
            <w:tcW w:w="78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(b) </w:t>
            </w:r>
          </w:p>
        </w:tc>
      </w:tr>
      <w:tr>
        <w:trPr/>
        <w:tc>
          <w:tcPr>
            <w:tcW w:w="2393" w:type="dxa"/>
            <w:tcBorders/>
            <w:vAlign w:val="center"/>
          </w:tcPr>
          <w:p>
            <w:pPr>
              <w:pStyle w:val="TableContents"/>
              <w:bidi w:val="0"/>
              <w:spacing w:before="0" w:after="283"/>
              <w:jc w:val="left"/>
              <w:rPr/>
            </w:pPr>
            <w:r>
              <w:rPr/>
              <w:t>3</w:t>
            </w:r>
          </w:p>
        </w:tc>
        <w:tc>
          <w:tcPr>
            <w:tcW w:w="7812" w:type="dxa"/>
            <w:tcBorders/>
            <w:vAlign w:val="center"/>
          </w:tcPr>
          <w:p>
            <w:pPr>
              <w:pStyle w:val="TableContents"/>
              <w:bidi w:val="0"/>
              <w:spacing w:before="0" w:after="283"/>
              <w:jc w:val="left"/>
              <w:rPr/>
            </w:pPr>
            <w:r>
              <w:rPr/>
              <w:t>SEC use only</w:t>
            </w:r>
          </w:p>
        </w:tc>
      </w:tr>
      <w:tr>
        <w:trPr/>
        <w:tc>
          <w:tcPr>
            <w:tcW w:w="2393" w:type="dxa"/>
            <w:tcBorders/>
            <w:vAlign w:val="center"/>
          </w:tcPr>
          <w:p>
            <w:pPr>
              <w:pStyle w:val="TableContents"/>
              <w:bidi w:val="0"/>
              <w:spacing w:before="0" w:after="283"/>
              <w:jc w:val="left"/>
              <w:rPr/>
            </w:pPr>
            <w:r>
              <w:rPr/>
              <w:t>4</w:t>
            </w:r>
          </w:p>
        </w:tc>
        <w:tc>
          <w:tcPr>
            <w:tcW w:w="781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3" w:type="dxa"/>
            <w:tcBorders/>
            <w:vAlign w:val="center"/>
          </w:tcPr>
          <w:p>
            <w:pPr>
              <w:pStyle w:val="TableContents"/>
              <w:bidi w:val="0"/>
              <w:spacing w:before="0" w:after="283"/>
              <w:jc w:val="left"/>
              <w:rPr/>
            </w:pPr>
            <w:r>
              <w:rPr/>
              <w:t>5</w:t>
            </w:r>
          </w:p>
        </w:tc>
        <w:tc>
          <w:tcPr>
            <w:tcW w:w="781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r>
      <w:tr>
        <w:trPr/>
        <w:tc>
          <w:tcPr>
            <w:tcW w:w="2393" w:type="dxa"/>
            <w:tcBorders/>
            <w:vAlign w:val="center"/>
          </w:tcPr>
          <w:p>
            <w:pPr>
              <w:pStyle w:val="TableContents"/>
              <w:bidi w:val="0"/>
              <w:spacing w:before="0" w:after="283"/>
              <w:jc w:val="left"/>
              <w:rPr/>
            </w:pPr>
            <w:r>
              <w:rPr/>
              <w:t>6</w:t>
            </w:r>
          </w:p>
        </w:tc>
        <w:tc>
          <w:tcPr>
            <w:tcW w:w="78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36,814,136.00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36,814,136.00</w:t>
                  </w:r>
                </w:p>
              </w:tc>
            </w:tr>
          </w:tbl>
          <w:p>
            <w:pPr>
              <w:pStyle w:val="TableContents"/>
              <w:bidi w:val="0"/>
              <w:spacing w:before="0" w:after="283"/>
              <w:jc w:val="left"/>
              <w:rPr/>
            </w:pPr>
            <w:r>
              <w:rPr/>
            </w:r>
          </w:p>
        </w:tc>
        <w:tc>
          <w:tcPr>
            <w:tcW w:w="7812" w:type="dxa"/>
            <w:tcBorders/>
            <w:vAlign w:val="center"/>
          </w:tcPr>
          <w:p>
            <w:pPr>
              <w:pStyle w:val="TableContents"/>
              <w:bidi w:val="0"/>
              <w:spacing w:before="0" w:after="283"/>
              <w:jc w:val="left"/>
              <w:rPr>
                <w:sz w:val="4"/>
                <w:szCs w:val="4"/>
              </w:rPr>
            </w:pPr>
            <w:r>
              <w:rPr>
                <w:sz w:val="4"/>
                <w:szCs w:val="4"/>
              </w:rPr>
            </w:r>
          </w:p>
        </w:tc>
      </w:tr>
      <w:tr>
        <w:trPr/>
        <w:tc>
          <w:tcPr>
            <w:tcW w:w="2393" w:type="dxa"/>
            <w:tcBorders/>
            <w:vAlign w:val="center"/>
          </w:tcPr>
          <w:p>
            <w:pPr>
              <w:pStyle w:val="TableContents"/>
              <w:bidi w:val="0"/>
              <w:spacing w:before="0" w:after="283"/>
              <w:jc w:val="left"/>
              <w:rPr/>
            </w:pPr>
            <w:r>
              <w:rPr/>
              <w:t>11</w:t>
            </w:r>
          </w:p>
        </w:tc>
        <w:tc>
          <w:tcPr>
            <w:tcW w:w="78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36,814,136.00</w:t>
            </w:r>
          </w:p>
        </w:tc>
      </w:tr>
      <w:tr>
        <w:trPr/>
        <w:tc>
          <w:tcPr>
            <w:tcW w:w="2393" w:type="dxa"/>
            <w:tcBorders/>
            <w:vAlign w:val="center"/>
          </w:tcPr>
          <w:p>
            <w:pPr>
              <w:pStyle w:val="TableContents"/>
              <w:bidi w:val="0"/>
              <w:spacing w:before="0" w:after="283"/>
              <w:jc w:val="left"/>
              <w:rPr/>
            </w:pPr>
            <w:r>
              <w:rPr/>
              <w:t>12</w:t>
            </w:r>
          </w:p>
        </w:tc>
        <w:tc>
          <w:tcPr>
            <w:tcW w:w="781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393" w:type="dxa"/>
            <w:tcBorders/>
            <w:vAlign w:val="center"/>
          </w:tcPr>
          <w:p>
            <w:pPr>
              <w:pStyle w:val="TableContents"/>
              <w:bidi w:val="0"/>
              <w:spacing w:before="0" w:after="283"/>
              <w:jc w:val="left"/>
              <w:rPr/>
            </w:pPr>
            <w:r>
              <w:rPr/>
              <w:t>13</w:t>
            </w:r>
          </w:p>
        </w:tc>
        <w:tc>
          <w:tcPr>
            <w:tcW w:w="781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21.4 % </w:t>
            </w:r>
          </w:p>
        </w:tc>
      </w:tr>
      <w:tr>
        <w:trPr/>
        <w:tc>
          <w:tcPr>
            <w:tcW w:w="2393" w:type="dxa"/>
            <w:tcBorders/>
            <w:vAlign w:val="center"/>
          </w:tcPr>
          <w:p>
            <w:pPr>
              <w:pStyle w:val="TableContents"/>
              <w:bidi w:val="0"/>
              <w:spacing w:before="0" w:after="283"/>
              <w:jc w:val="left"/>
              <w:rPr/>
            </w:pPr>
            <w:r>
              <w:rPr/>
              <w:t>14</w:t>
            </w:r>
          </w:p>
        </w:tc>
        <w:tc>
          <w:tcPr>
            <w:tcW w:w="78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374"/>
        <w:gridCol w:w="7831"/>
      </w:tblGrid>
      <w:tr>
        <w:trPr/>
        <w:tc>
          <w:tcPr>
            <w:tcW w:w="2374" w:type="dxa"/>
            <w:tcBorders/>
            <w:vAlign w:val="center"/>
          </w:tcPr>
          <w:p>
            <w:pPr>
              <w:pStyle w:val="TableContents"/>
              <w:bidi w:val="0"/>
              <w:spacing w:before="0" w:after="283"/>
              <w:jc w:val="left"/>
              <w:rPr/>
            </w:pPr>
            <w:r>
              <w:rPr/>
              <w:t>1</w:t>
            </w:r>
          </w:p>
        </w:tc>
        <w:tc>
          <w:tcPr>
            <w:tcW w:w="783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GenPar (Lux) SCSp</w:t>
            </w:r>
          </w:p>
        </w:tc>
      </w:tr>
      <w:tr>
        <w:trPr/>
        <w:tc>
          <w:tcPr>
            <w:tcW w:w="2374" w:type="dxa"/>
            <w:tcBorders/>
            <w:vAlign w:val="center"/>
          </w:tcPr>
          <w:p>
            <w:pPr>
              <w:pStyle w:val="TableContents"/>
              <w:bidi w:val="0"/>
              <w:spacing w:before="0" w:after="283"/>
              <w:jc w:val="left"/>
              <w:rPr/>
            </w:pPr>
            <w:r>
              <w:rPr/>
              <w:t>2</w:t>
            </w:r>
          </w:p>
        </w:tc>
        <w:tc>
          <w:tcPr>
            <w:tcW w:w="783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374" w:type="dxa"/>
            <w:tcBorders/>
            <w:vAlign w:val="center"/>
          </w:tcPr>
          <w:p>
            <w:pPr>
              <w:pStyle w:val="TableContents"/>
              <w:bidi w:val="0"/>
              <w:spacing w:before="0" w:after="283"/>
              <w:jc w:val="left"/>
              <w:rPr/>
            </w:pPr>
            <w:r>
              <w:rPr/>
              <w:t>3</w:t>
            </w:r>
          </w:p>
        </w:tc>
        <w:tc>
          <w:tcPr>
            <w:tcW w:w="7831" w:type="dxa"/>
            <w:tcBorders/>
            <w:vAlign w:val="center"/>
          </w:tcPr>
          <w:p>
            <w:pPr>
              <w:pStyle w:val="TableContents"/>
              <w:bidi w:val="0"/>
              <w:spacing w:before="0" w:after="283"/>
              <w:jc w:val="left"/>
              <w:rPr/>
            </w:pPr>
            <w:r>
              <w:rPr/>
              <w:t>SEC use only</w:t>
            </w:r>
          </w:p>
        </w:tc>
      </w:tr>
      <w:tr>
        <w:trPr/>
        <w:tc>
          <w:tcPr>
            <w:tcW w:w="2374" w:type="dxa"/>
            <w:tcBorders/>
            <w:vAlign w:val="center"/>
          </w:tcPr>
          <w:p>
            <w:pPr>
              <w:pStyle w:val="TableContents"/>
              <w:bidi w:val="0"/>
              <w:spacing w:before="0" w:after="283"/>
              <w:jc w:val="left"/>
              <w:rPr/>
            </w:pPr>
            <w:r>
              <w:rPr/>
              <w:t>4</w:t>
            </w:r>
          </w:p>
        </w:tc>
        <w:tc>
          <w:tcPr>
            <w:tcW w:w="783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74" w:type="dxa"/>
            <w:tcBorders/>
            <w:vAlign w:val="center"/>
          </w:tcPr>
          <w:p>
            <w:pPr>
              <w:pStyle w:val="TableContents"/>
              <w:bidi w:val="0"/>
              <w:spacing w:before="0" w:after="283"/>
              <w:jc w:val="left"/>
              <w:rPr/>
            </w:pPr>
            <w:r>
              <w:rPr/>
              <w:t>5</w:t>
            </w:r>
          </w:p>
        </w:tc>
        <w:tc>
          <w:tcPr>
            <w:tcW w:w="783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6</w:t>
            </w:r>
          </w:p>
        </w:tc>
        <w:tc>
          <w:tcPr>
            <w:tcW w:w="783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37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36,814,136.00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36,814,136.00</w:t>
                  </w:r>
                </w:p>
              </w:tc>
            </w:tr>
          </w:tbl>
          <w:p>
            <w:pPr>
              <w:pStyle w:val="TableContents"/>
              <w:bidi w:val="0"/>
              <w:spacing w:before="0" w:after="283"/>
              <w:jc w:val="left"/>
              <w:rPr/>
            </w:pPr>
            <w:r>
              <w:rPr/>
            </w:r>
          </w:p>
        </w:tc>
        <w:tc>
          <w:tcPr>
            <w:tcW w:w="7831" w:type="dxa"/>
            <w:tcBorders/>
            <w:vAlign w:val="center"/>
          </w:tcPr>
          <w:p>
            <w:pPr>
              <w:pStyle w:val="TableContents"/>
              <w:bidi w:val="0"/>
              <w:spacing w:before="0" w:after="283"/>
              <w:jc w:val="left"/>
              <w:rPr>
                <w:sz w:val="4"/>
                <w:szCs w:val="4"/>
              </w:rPr>
            </w:pPr>
            <w:r>
              <w:rPr>
                <w:sz w:val="4"/>
                <w:szCs w:val="4"/>
              </w:rPr>
            </w:r>
          </w:p>
        </w:tc>
      </w:tr>
      <w:tr>
        <w:trPr/>
        <w:tc>
          <w:tcPr>
            <w:tcW w:w="2374" w:type="dxa"/>
            <w:tcBorders/>
            <w:vAlign w:val="center"/>
          </w:tcPr>
          <w:p>
            <w:pPr>
              <w:pStyle w:val="TableContents"/>
              <w:bidi w:val="0"/>
              <w:spacing w:before="0" w:after="283"/>
              <w:jc w:val="left"/>
              <w:rPr/>
            </w:pPr>
            <w:r>
              <w:rPr/>
              <w:t>11</w:t>
            </w:r>
          </w:p>
        </w:tc>
        <w:tc>
          <w:tcPr>
            <w:tcW w:w="783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36,814,136.00</w:t>
            </w:r>
          </w:p>
        </w:tc>
      </w:tr>
      <w:tr>
        <w:trPr/>
        <w:tc>
          <w:tcPr>
            <w:tcW w:w="2374" w:type="dxa"/>
            <w:tcBorders/>
            <w:vAlign w:val="center"/>
          </w:tcPr>
          <w:p>
            <w:pPr>
              <w:pStyle w:val="TableContents"/>
              <w:bidi w:val="0"/>
              <w:spacing w:before="0" w:after="283"/>
              <w:jc w:val="left"/>
              <w:rPr/>
            </w:pPr>
            <w:r>
              <w:rPr/>
              <w:t>12</w:t>
            </w:r>
          </w:p>
        </w:tc>
        <w:tc>
          <w:tcPr>
            <w:tcW w:w="783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13</w:t>
            </w:r>
          </w:p>
        </w:tc>
        <w:tc>
          <w:tcPr>
            <w:tcW w:w="783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21.4 % </w:t>
            </w:r>
          </w:p>
        </w:tc>
      </w:tr>
      <w:tr>
        <w:trPr/>
        <w:tc>
          <w:tcPr>
            <w:tcW w:w="2374" w:type="dxa"/>
            <w:tcBorders/>
            <w:vAlign w:val="center"/>
          </w:tcPr>
          <w:p>
            <w:pPr>
              <w:pStyle w:val="TableContents"/>
              <w:bidi w:val="0"/>
              <w:spacing w:before="0" w:after="283"/>
              <w:jc w:val="left"/>
              <w:rPr/>
            </w:pPr>
            <w:r>
              <w:rPr/>
              <w:t>14</w:t>
            </w:r>
          </w:p>
        </w:tc>
        <w:tc>
          <w:tcPr>
            <w:tcW w:w="783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374"/>
        <w:gridCol w:w="7831"/>
      </w:tblGrid>
      <w:tr>
        <w:trPr/>
        <w:tc>
          <w:tcPr>
            <w:tcW w:w="2374" w:type="dxa"/>
            <w:tcBorders/>
            <w:vAlign w:val="center"/>
          </w:tcPr>
          <w:p>
            <w:pPr>
              <w:pStyle w:val="TableContents"/>
              <w:bidi w:val="0"/>
              <w:spacing w:before="0" w:after="283"/>
              <w:jc w:val="left"/>
              <w:rPr/>
            </w:pPr>
            <w:r>
              <w:rPr/>
              <w:t>1</w:t>
            </w:r>
          </w:p>
        </w:tc>
        <w:tc>
          <w:tcPr>
            <w:tcW w:w="783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(Lux) S.a r.l.</w:t>
            </w:r>
          </w:p>
        </w:tc>
      </w:tr>
      <w:tr>
        <w:trPr/>
        <w:tc>
          <w:tcPr>
            <w:tcW w:w="2374" w:type="dxa"/>
            <w:tcBorders/>
            <w:vAlign w:val="center"/>
          </w:tcPr>
          <w:p>
            <w:pPr>
              <w:pStyle w:val="TableContents"/>
              <w:bidi w:val="0"/>
              <w:spacing w:before="0" w:after="283"/>
              <w:jc w:val="left"/>
              <w:rPr/>
            </w:pPr>
            <w:r>
              <w:rPr/>
              <w:t>2</w:t>
            </w:r>
          </w:p>
        </w:tc>
        <w:tc>
          <w:tcPr>
            <w:tcW w:w="783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r>
              <w:rPr/>
              <w:t xml:space="preserve">  (b) </w:t>
            </w:r>
          </w:p>
        </w:tc>
      </w:tr>
      <w:tr>
        <w:trPr/>
        <w:tc>
          <w:tcPr>
            <w:tcW w:w="2374" w:type="dxa"/>
            <w:tcBorders/>
            <w:vAlign w:val="center"/>
          </w:tcPr>
          <w:p>
            <w:pPr>
              <w:pStyle w:val="TableContents"/>
              <w:bidi w:val="0"/>
              <w:spacing w:before="0" w:after="283"/>
              <w:jc w:val="left"/>
              <w:rPr/>
            </w:pPr>
            <w:r>
              <w:rPr/>
              <w:t>3</w:t>
            </w:r>
          </w:p>
        </w:tc>
        <w:tc>
          <w:tcPr>
            <w:tcW w:w="7831" w:type="dxa"/>
            <w:tcBorders/>
            <w:vAlign w:val="center"/>
          </w:tcPr>
          <w:p>
            <w:pPr>
              <w:pStyle w:val="TableContents"/>
              <w:bidi w:val="0"/>
              <w:spacing w:before="0" w:after="283"/>
              <w:jc w:val="left"/>
              <w:rPr/>
            </w:pPr>
            <w:r>
              <w:rPr/>
              <w:t>SEC use only</w:t>
            </w:r>
          </w:p>
        </w:tc>
      </w:tr>
      <w:tr>
        <w:trPr/>
        <w:tc>
          <w:tcPr>
            <w:tcW w:w="2374" w:type="dxa"/>
            <w:tcBorders/>
            <w:vAlign w:val="center"/>
          </w:tcPr>
          <w:p>
            <w:pPr>
              <w:pStyle w:val="TableContents"/>
              <w:bidi w:val="0"/>
              <w:spacing w:before="0" w:after="283"/>
              <w:jc w:val="left"/>
              <w:rPr/>
            </w:pPr>
            <w:r>
              <w:rPr/>
              <w:t>4</w:t>
            </w:r>
          </w:p>
        </w:tc>
        <w:tc>
          <w:tcPr>
            <w:tcW w:w="783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74" w:type="dxa"/>
            <w:tcBorders/>
            <w:vAlign w:val="center"/>
          </w:tcPr>
          <w:p>
            <w:pPr>
              <w:pStyle w:val="TableContents"/>
              <w:bidi w:val="0"/>
              <w:spacing w:before="0" w:after="283"/>
              <w:jc w:val="left"/>
              <w:rPr/>
            </w:pPr>
            <w:r>
              <w:rPr/>
              <w:t>5</w:t>
            </w:r>
          </w:p>
        </w:tc>
        <w:tc>
          <w:tcPr>
            <w:tcW w:w="783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6</w:t>
            </w:r>
          </w:p>
        </w:tc>
        <w:tc>
          <w:tcPr>
            <w:tcW w:w="783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37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36,814,136.00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36,814,136.00</w:t>
                  </w:r>
                </w:p>
              </w:tc>
            </w:tr>
          </w:tbl>
          <w:p>
            <w:pPr>
              <w:pStyle w:val="TableContents"/>
              <w:bidi w:val="0"/>
              <w:spacing w:before="0" w:after="283"/>
              <w:jc w:val="left"/>
              <w:rPr/>
            </w:pPr>
            <w:r>
              <w:rPr/>
            </w:r>
          </w:p>
        </w:tc>
        <w:tc>
          <w:tcPr>
            <w:tcW w:w="7831" w:type="dxa"/>
            <w:tcBorders/>
            <w:vAlign w:val="center"/>
          </w:tcPr>
          <w:p>
            <w:pPr>
              <w:pStyle w:val="TableContents"/>
              <w:bidi w:val="0"/>
              <w:spacing w:before="0" w:after="283"/>
              <w:jc w:val="left"/>
              <w:rPr>
                <w:sz w:val="4"/>
                <w:szCs w:val="4"/>
              </w:rPr>
            </w:pPr>
            <w:r>
              <w:rPr>
                <w:sz w:val="4"/>
                <w:szCs w:val="4"/>
              </w:rPr>
            </w:r>
          </w:p>
        </w:tc>
      </w:tr>
      <w:tr>
        <w:trPr/>
        <w:tc>
          <w:tcPr>
            <w:tcW w:w="2374" w:type="dxa"/>
            <w:tcBorders/>
            <w:vAlign w:val="center"/>
          </w:tcPr>
          <w:p>
            <w:pPr>
              <w:pStyle w:val="TableContents"/>
              <w:bidi w:val="0"/>
              <w:spacing w:before="0" w:after="283"/>
              <w:jc w:val="left"/>
              <w:rPr/>
            </w:pPr>
            <w:r>
              <w:rPr/>
              <w:t>11</w:t>
            </w:r>
          </w:p>
        </w:tc>
        <w:tc>
          <w:tcPr>
            <w:tcW w:w="783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36,814,136.00</w:t>
            </w:r>
          </w:p>
        </w:tc>
      </w:tr>
      <w:tr>
        <w:trPr/>
        <w:tc>
          <w:tcPr>
            <w:tcW w:w="2374" w:type="dxa"/>
            <w:tcBorders/>
            <w:vAlign w:val="center"/>
          </w:tcPr>
          <w:p>
            <w:pPr>
              <w:pStyle w:val="TableContents"/>
              <w:bidi w:val="0"/>
              <w:spacing w:before="0" w:after="283"/>
              <w:jc w:val="left"/>
              <w:rPr/>
            </w:pPr>
            <w:r>
              <w:rPr/>
              <w:t>12</w:t>
            </w:r>
          </w:p>
        </w:tc>
        <w:tc>
          <w:tcPr>
            <w:tcW w:w="783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13</w:t>
            </w:r>
          </w:p>
        </w:tc>
        <w:tc>
          <w:tcPr>
            <w:tcW w:w="783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21.4 % </w:t>
            </w:r>
          </w:p>
        </w:tc>
      </w:tr>
      <w:tr>
        <w:trPr/>
        <w:tc>
          <w:tcPr>
            <w:tcW w:w="2374" w:type="dxa"/>
            <w:tcBorders/>
            <w:vAlign w:val="center"/>
          </w:tcPr>
          <w:p>
            <w:pPr>
              <w:pStyle w:val="TableContents"/>
              <w:bidi w:val="0"/>
              <w:spacing w:before="0" w:after="283"/>
              <w:jc w:val="left"/>
              <w:rPr/>
            </w:pPr>
            <w:r>
              <w:rPr/>
              <w:t>14</w:t>
            </w:r>
          </w:p>
        </w:tc>
        <w:tc>
          <w:tcPr>
            <w:tcW w:w="783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GenPar (Bermuda),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36,814,136.00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36,814,136.00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36,814,136.00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74" w:name="cusipNumber17"/>
      <w:bookmarkStart w:id="75" w:name="cusipNumber17"/>
      <w:bookmarkEnd w:id="7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6" w:name="reportingPersonDetails17"/>
      <w:bookmarkStart w:id="77" w:name="reportingPersonDetails17"/>
      <w:bookmarkEnd w:id="7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Partners 100,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6,595,756.00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6,595,756.00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6,595,756.00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78" w:name="cusipNumber18"/>
      <w:bookmarkStart w:id="79" w:name="cusipNumber18"/>
      <w:bookmarkEnd w:id="7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0" w:name="reportingPersonDetails18"/>
      <w:bookmarkStart w:id="81" w:name="reportingPersonDetails18"/>
      <w:bookmarkEnd w:id="8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(SPV) GP,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6,595,756.00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6,595,756.00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6,595,756.00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82" w:name="cusipNumber19"/>
      <w:bookmarkStart w:id="83" w:name="cusipNumber19"/>
      <w:bookmarkEnd w:id="8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4" w:name="reportingPersonDetails19"/>
      <w:bookmarkStart w:id="85" w:name="reportingPersonDetails19"/>
      <w:bookmarkEnd w:id="8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GenPar,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6,595,756.00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6,595,756.00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6,595,756.00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86" w:name="cusipNumber20"/>
      <w:bookmarkStart w:id="87" w:name="cusipNumber20"/>
      <w:bookmarkEnd w:id="8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8" w:name="reportingPersonDetails20"/>
      <w:bookmarkStart w:id="89" w:name="reportingPersonDetails20"/>
      <w:bookmarkEnd w:id="8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(DLO),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6,595,756.00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6,595,756.00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6,595,756.00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90" w:name="item1to7"/>
      <w:bookmarkStart w:id="91" w:name="item1to7"/>
      <w:bookmarkEnd w:id="91"/>
    </w:p>
    <w:tbl>
      <w:tblPr>
        <w:tblW w:w="10205" w:type="dxa"/>
        <w:jc w:val="left"/>
        <w:tblInd w:w="0" w:type="dxa"/>
        <w:tblLayout w:type="fixed"/>
        <w:tblCellMar>
          <w:top w:w="28" w:type="dxa"/>
          <w:left w:w="28" w:type="dxa"/>
          <w:bottom w:w="28" w:type="dxa"/>
          <w:right w:w="28" w:type="dxa"/>
        </w:tblCellMar>
      </w:tblPr>
      <w:tblGrid>
        <w:gridCol w:w="1111"/>
        <w:gridCol w:w="8939"/>
        <w:gridCol w:w="155"/>
      </w:tblGrid>
      <w:tr>
        <w:trPr/>
        <w:tc>
          <w:tcPr>
            <w:tcW w:w="1111" w:type="dxa"/>
            <w:tcBorders/>
            <w:vAlign w:val="center"/>
          </w:tcPr>
          <w:p>
            <w:pPr>
              <w:pStyle w:val="TableContents"/>
              <w:bidi w:val="0"/>
              <w:spacing w:before="0" w:after="283"/>
              <w:jc w:val="left"/>
              <w:rPr/>
            </w:pPr>
            <w:r>
              <w:rPr/>
              <w:t>Item 1.</w:t>
            </w:r>
          </w:p>
        </w:tc>
        <w:tc>
          <w:tcPr>
            <w:tcW w:w="893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shares, nominal value $0.002 per share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Name of Issuer: </w:t>
            </w:r>
          </w:p>
          <w:p>
            <w:pPr>
              <w:pStyle w:val="TableContents"/>
              <w:bidi w:val="0"/>
              <w:spacing w:before="0" w:after="0"/>
              <w:jc w:val="left"/>
              <w:rPr/>
            </w:pPr>
            <w:r>
              <w:rPr/>
              <w:t>dLocal Ltd</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DR. LUIS BONAVITA, 1294, MONTEVIDEO, URUGUAY , 11300.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to Schedule 13D (the "Statement") is being filed to amend the Statement as originally filed with the Securities and Exchange Commission on March 23, 2023, as amended by Amendment No. 1 dated April 25, 2023 and Amendment No. 2 dated September 9, 2025, with respect to the Class A common shares, nominal value $0.002 (the "Class A common shares") of DLocal Limited, a company incorporated in the Cayman Islands (the "Company"), whose principal executive offices are located at Dr. Luis Bonavita, 1294, 11300, Montevideo, Uruguay. Except as otherwise provided herein, each Item of the Statement remains unchanged.</w:t>
            </w:r>
          </w:p>
        </w:tc>
      </w:tr>
      <w:tr>
        <w:trPr/>
        <w:tc>
          <w:tcPr>
            <w:tcW w:w="1111" w:type="dxa"/>
            <w:tcBorders/>
            <w:vAlign w:val="center"/>
          </w:tcPr>
          <w:p>
            <w:pPr>
              <w:pStyle w:val="TableContents"/>
              <w:bidi w:val="0"/>
              <w:spacing w:before="0" w:after="283"/>
              <w:jc w:val="left"/>
              <w:rPr/>
            </w:pPr>
            <w:r>
              <w:rPr/>
              <w:t>Item 2.</w:t>
            </w:r>
          </w:p>
        </w:tc>
        <w:tc>
          <w:tcPr>
            <w:tcW w:w="8939"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spacing w:before="0" w:after="0"/>
              <w:jc w:val="left"/>
              <w:rPr/>
            </w:pPr>
            <w:r>
              <w:rPr/>
              <w:t>This Statement is being filed by a "group," as defined in Rule 13d-5 of the General Rules and Regulations promulgated under the Exchange Act. The members of the group are: (i) General Atlantic, L.P., a Delaware limited partnership ("GA LP"); (ii) General Atlantic DO B.V., a Netherlands private limited company ("GA DO"); (iii) General Atlantic (DO) SPV GP, LLC, a Cayman Islands limited liability company ("GA DO SPV GP"); (iv) General Atlantic (DO) SPV, L.P., a Cayman Islands exempted limited partnership ("GA DO SPV"); (v) General Atlantic Cooperatief U.A., a Netherlands cooperative ("GA Coop UA"); (vi) General Atlantic Partners (Bermuda) IV, L.P., a Bermuda exempted limited partnership ("GAP Bermuda IV"); (vii) General Atlantic Partners (Bermuda) EU, L.P., a Bermuda exempted limited partnership ("GAP Bermuda EU"); (viii) General Atlantic Partners (Lux) SCSp, a Luxembourg special limited partnership ("GAP Lux"); (ix) General Atlantic Cooperatief, L.P., a Bermuda exempted limited partnership ("GA Coop LP"); (x) GAP (Bermuda) L.P., a Bermuda exempted limited partnership ("GAP (Bermuda) LP"); (xi) GAP Coinvestments III, LLC, a Delaware limited liability company ("GAPCO III"); (xii) GAP Coinvestments IV, LLC, a Delaware limited liability company ("GAPCO IV"); (xiii) GAP Coinvestments V, LLC, a Delaware limited liability company ("GAPCO V"); (xiv) GAP Coinvestments CDA, L.P., a Delaware limited partnership ("GAPCO CDA"); (xv) General Atlantic GenPar (Lux) SCSp, a Luxembourg special limited partnership ("GA GenPar Lux"); (xvi) General Atlantic (Lux) S.a r.l., a Luxembourg private limited liability company ("GA Lux"); (xvii) General Atlantic GenPar (Bermuda), L.P., a Bermuda exempted limited partnership ("GenPar Bermuda"); (xviii) General Atlantic Partners 100, L.P., a Delaware limited partnership ("GAP 100"); (xix) General Atlantic (SPV) GP, LLC, a Delaware limited partnership ("GA SPV"); (xx) General Atlantic GenPar, L.P., a Delaware limited partnership ("GA GenPar"); (xxi) General Atlantic (DLO), L.P., a Delaware limited partnership ("GA DLO") Each of the foregoing is referred to as a Reporting Person and collectively as the "Reporting Persons." GAP Bermuda IV, GAP Bermuda EU, GAP Lux, GA Coop LP and GAP 100 are collectively referred to as the "GA Funds." GAPCO III, GAPCO IV, GAPCO V and GAPCO CDA are collectively referred to as the "Sponsor Coinvestment Funds." The address of GAP (Bermuda) LP, GenPar Bermuda, GAP Bermuda IV, GA Coop LP and GAP Bermuda EU is c/o Conyers Client Services (Bermuda) Limited, Clarendon House, 2 Church Street, Hamilton HM 11, Bermuda. The address of GA DO and GA Coop UA is Gustav Mahlerlaan 308, 1082 ME, Amsterdam, The Netherlands. The address of GA DO SPV GP and GA DO SPV is c/o Conyers Trust Company (Cayman) Limited, SIX, 2nd Floor, Cricket Square, PO Box 2681, Grand Cayman KY1-1111, Cayman Islands. The address of GA Lux, GA GenPar Lux, and GAP Lux is 412F, Route d'Esch, L-1471 Luxembourg. The address of each of the Sponsor Coinvestment Funds, GA DLO, GAP 100, GAP SPV, GA GenPar and GA LP is c/o General Atlantic Service Company, L.P., 55 East 52nd Street, 33rd Floor, New York, NY 10055. Each of the Reporting Persons is engaged in acquiring, holding and disposing of interests in various companies for investment purposes. GA DO is a wholly owned subsidiary of GA Coop UA. GA DO is the sole member of GA DO SPV GP. GA DO SPV GP is the general partner of GA DO SPV. The GA Funds, other than GAP 100, and the Sponsor Coinvestment Funds share beneficial ownership of the shares of Class A common shares held of record by GA DO. The GA Funds, other than GAP Bermuda IV and GA Coop LP, and the Sponsor Coinvestment Funds share beneficial ownership of the shares of Class A common shares held of record by GA DLO. GA SPV is the general partner of GA DLO. General Atlantic GenPar is the general partner of GAP 100. GA LP, which is controlled by the Partnership Committee of GASC MGP LLC (the "GA Partnership Committee"), is the sole member of GA SPV, the managing member of GAPCO III, GAPCO IV and GAPCO V and the general partner of GAPCO CDA and GA GenPar. The general partner of GAP Lux is GA GenPar Lux and the general partner of GA GenPar Lux is GA Lux. The general partner of GAP Bermuda IV and GAP Bermuda EU and the sole shareholder of GA Lux is GenPar Bermuda. GAP (Bermuda) LP, which is also controlled by the GA Partnership Committee, is the general partner of GenPar Bermuda and GA Coop LP. As of the date hereof, there are six members of the GA Partnership Committee. By virtue of the foregoing, the Reporting Persons may be deemed to share voting power and the power to direct the disposition of the shares that each owns of record. Each of the members of the GA Partnership Committee disclaims ownership of the Class A common shares reported herein except to the extent that he has a pecuniary interest therein. The information required by General Instruction C to Schedule 13D is attached hereto as Schedule A and is hereby incorporated by reference. The present principal occupation or employment of each of the members of the GA Partnership Committee is as a managing director of GA LP.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spacing w:before="0" w:after="0"/>
              <w:jc w:val="left"/>
              <w:rPr/>
            </w:pPr>
            <w:r>
              <w:rPr/>
              <w:t>None of the Reporting Persons and none of the individuals listed on Schedule A have, during the last five years,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0"/>
              <w:jc w:val="left"/>
              <w:rPr/>
            </w:pPr>
            <w:r>
              <w:rPr/>
              <w:t>See Item 2(d).</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(f)</w:t>
            </w:r>
          </w:p>
        </w:tc>
        <w:tc>
          <w:tcPr>
            <w:tcW w:w="8939" w:type="dxa"/>
            <w:tcBorders/>
            <w:vAlign w:val="center"/>
          </w:tcPr>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3.</w:t>
            </w:r>
          </w:p>
        </w:tc>
        <w:tc>
          <w:tcPr>
            <w:tcW w:w="893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No material change.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4.</w:t>
            </w:r>
          </w:p>
        </w:tc>
        <w:tc>
          <w:tcPr>
            <w:tcW w:w="8939"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No material change.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5.</w:t>
            </w:r>
          </w:p>
        </w:tc>
        <w:tc>
          <w:tcPr>
            <w:tcW w:w="893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spacing w:before="0" w:after="0"/>
              <w:jc w:val="left"/>
              <w:rPr/>
            </w:pPr>
            <w:r>
              <w:rPr/>
              <w:t>Item 5(a) is hereby amended and supplemented as follows: The percentages used herein are calculated based upon on an aggregate of 172,183,455 Class A common shares reported by the Company to be outstanding as of June 30, 2026, as reported by the Company in its Unaudited Condensed Consolidated Interim Financial Statements as of and for the three and six months ended June 30, 2026 and 2025 and as of December 31, 2025, filed with the U.S. Securities and Exchange Commission as Exhibit 99.2 to Form 6-K on August 13, 2026. By virtue of the fact that (i) the GA Funds and the Sponsor Coinvestment Funds contributed the capital to fund the purchases, and share beneficial ownership, of the Class A common shares reported herein, (ii) GAP (Bermuda) LP is the general partner of GenPar Bermuda, and GenPar Bermuda is the general partner of GAP Bermuda EU and GAP Bermuda IV, and is the sole shareholder of GA Lux, (iii) GA Lux is the general partner of GA GenPar Lux and GA GenPar Lux is the general partner of GAP Lux, (iv) GAP Lux has appointed Carne Global Fund Management (Luxembourg) S.A. (the "AIFM") as the alternative investment fund manager of GAP Lux pursuant to an alternative investment fund management agreement to undertake all functions required of an external alternative investment fund manager under the Luxembourg law of 12 July 2013 on alternative investment fund managers, as amended from time to time and GAP Lux has also entered into a delegated portfolio management and distribution agreement with the AIFM and General Atlantic Service Company, L.P. ("GASC") in order to appoint GASC to act as the portfolio manager of GAP Lux, (v) GA LP is the sole member of GA SPV, the managing member of GAPCO III, GAPCO IV and GAPCO V, the general partner of GAPCO CDA and GA GenPar, and (vi) the members of the Partnership Committee control the investment decisions of GA LP, GAP (Bermuda) LP and, with respect to GAP Lux, GASC, the Reporting Persons may be deemed to have the power to vote and direct the disposition of the Class A common shares owned of record by GA DO and GA DLO. As a result, as of the date hereof, each of the Reporting Persons may be deemed to beneficially own the Class A common shares indicated on row (11) on such Reporting Person's cover page included herein, or the approximate percentage of the aggregate amount of Class A common shares indicated on row (13) on such Reporting Person's cover page included herein.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spacing w:before="0" w:after="0"/>
              <w:jc w:val="left"/>
              <w:rPr/>
            </w:pPr>
            <w:r>
              <w:rPr/>
              <w:t>Each of the Reporting Persons has the shared power to vote or direct the vote and the shared power to dispose or to direct the disposition of the Class A common shares indicated on such Reporting Person's cover page included herein.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0"/>
              <w:jc w:val="left"/>
              <w:rPr/>
            </w:pPr>
            <w:r>
              <w:rPr/>
              <w:t>Item 5(c) of the Statement is hereby amended and supplemented as follows: Except as set forth below, to the knowledge of the Reporting Persons, none of the Reporting Persons nor any person named in Schedule A has effected any transaction in the Class A common shares during the past 60 days. On August 17, 2026, GA DO sold an aggregate of 9,842,559 Class A common shares in open market transactions at an average price of $13.60 per share.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spacing w:before="0" w:after="0"/>
              <w:jc w:val="left"/>
              <w:rPr/>
            </w:pPr>
            <w:r>
              <w:rPr/>
              <w:t>No person other than the persons listed is known to have the right to receive or the power to direct the receipt of dividends from, or the proceeds from the sale of, any securities owned by any member of the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6.</w:t>
            </w:r>
          </w:p>
        </w:tc>
        <w:tc>
          <w:tcPr>
            <w:tcW w:w="8939"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No material change.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7.</w:t>
            </w:r>
          </w:p>
        </w:tc>
        <w:tc>
          <w:tcPr>
            <w:tcW w:w="893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Exhibit 1: Agreement relating to the filing of the joint acquisition statements as required by Rule 13d-1(k)(1) under the Exchange Act (previously filed). https://www.sec.gov/Archives/edgar/data/1846832/000095014225002413/eh250674293_ex01.htm</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2" w:name="signatureInfo"/>
      <w:bookmarkStart w:id="93" w:name="signatureInfo"/>
      <w:bookmarkEnd w:id="9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GENERAL ATLANTIC,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Michael Gosk</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Michael Gosk, Managing Director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5626" w:type="dxa"/>
        <w:jc w:val="left"/>
        <w:tblInd w:w="0" w:type="dxa"/>
        <w:tblLayout w:type="fixed"/>
        <w:tblCellMar>
          <w:top w:w="28" w:type="dxa"/>
          <w:left w:w="28" w:type="dxa"/>
          <w:bottom w:w="28" w:type="dxa"/>
          <w:right w:w="28" w:type="dxa"/>
        </w:tblCellMar>
      </w:tblPr>
      <w:tblGrid>
        <w:gridCol w:w="2813"/>
        <w:gridCol w:w="2813"/>
      </w:tblGrid>
      <w:tr>
        <w:trPr/>
        <w:tc>
          <w:tcPr>
            <w:tcW w:w="2813" w:type="dxa"/>
            <w:tcBorders/>
            <w:vAlign w:val="center"/>
          </w:tcPr>
          <w:p>
            <w:pPr>
              <w:pStyle w:val="TableContents"/>
              <w:bidi w:val="0"/>
              <w:spacing w:before="0" w:after="0"/>
              <w:jc w:val="left"/>
              <w:rPr/>
            </w:pPr>
            <w:r>
              <w:rPr/>
              <w:t> </w:t>
            </w:r>
          </w:p>
          <w:tbl>
            <w:tblPr>
              <w:tblW w:w="2671" w:type="dxa"/>
              <w:jc w:val="left"/>
              <w:tblInd w:w="0" w:type="dxa"/>
              <w:tblLayout w:type="fixed"/>
              <w:tblCellMar>
                <w:top w:w="28" w:type="dxa"/>
                <w:left w:w="28" w:type="dxa"/>
                <w:bottom w:w="28" w:type="dxa"/>
                <w:right w:w="28" w:type="dxa"/>
              </w:tblCellMar>
            </w:tblPr>
            <w:tblGrid>
              <w:gridCol w:w="2671"/>
            </w:tblGrid>
            <w:tr>
              <w:trPr/>
              <w:tc>
                <w:tcPr>
                  <w:tcW w:w="2671" w:type="dxa"/>
                  <w:tcBorders/>
                  <w:vAlign w:val="center"/>
                </w:tcPr>
                <w:p>
                  <w:pPr>
                    <w:pStyle w:val="TableContents"/>
                    <w:bidi w:val="0"/>
                    <w:spacing w:before="0" w:after="0"/>
                    <w:jc w:val="left"/>
                    <w:rPr/>
                  </w:pPr>
                  <w:r>
                    <w:rPr/>
                    <w:t>General Atlantic DO B.V.</w:t>
                  </w:r>
                </w:p>
              </w:tc>
            </w:tr>
          </w:tbl>
          <w:p>
            <w:pPr>
              <w:pStyle w:val="TableContents"/>
              <w:bidi w:val="0"/>
              <w:spacing w:before="0" w:after="283"/>
              <w:jc w:val="left"/>
              <w:rPr/>
            </w:pPr>
            <w:r>
              <w:rPr/>
            </w:r>
          </w:p>
        </w:tc>
        <w:tc>
          <w:tcPr>
            <w:tcW w:w="28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4"/>
        <w:gridCol w:w="4451"/>
      </w:tblGrid>
      <w:tr>
        <w:trPr/>
        <w:tc>
          <w:tcPr>
            <w:tcW w:w="57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I.M. van der Hoorn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I.M. van der Hoorn, Director A</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4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J.V. Lepeltak</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J.V. Lepeltak, Director B</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66" w:type="dxa"/>
            <w:tcBorders/>
            <w:vAlign w:val="center"/>
          </w:tcPr>
          <w:p>
            <w:pPr>
              <w:pStyle w:val="TableContents"/>
              <w:bidi w:val="0"/>
              <w:spacing w:before="0" w:after="283"/>
              <w:jc w:val="left"/>
              <w:rPr>
                <w:sz w:val="4"/>
                <w:szCs w:val="4"/>
              </w:rPr>
            </w:pPr>
            <w:r>
              <w:rPr>
                <w:sz w:val="4"/>
                <w:szCs w:val="4"/>
              </w:rPr>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General Atlantic (DO) SPV GP, LLC</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I.M. van der Hoorn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I.M. van der Hoorn, Director A of General Atlantic DO B.V., its sole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8"/>
        <w:gridCol w:w="4367"/>
      </w:tblGrid>
      <w:tr>
        <w:trPr/>
        <w:tc>
          <w:tcPr>
            <w:tcW w:w="58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J.V. Lepeltak</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J.V. Lepeltak, Director B of General Atlantic DO B.V., its sole member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67" w:type="dxa"/>
            <w:tcBorders/>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General Atlantic (DO) SPV, L.P.</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I.M. van der Hoorn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I.M. van der Hoorn, Director A of General Atlantic DO B.V., the sole member of General Atlantic (DO) SPV GP, LLC, its general partner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J.V. Lepeltak</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J.V. Lepeltak, Director B of General Atlantic DO B.V., the sole member of General Atlantic (DO) SPV GP, LLC, its general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7098" w:type="dxa"/>
        <w:jc w:val="left"/>
        <w:tblInd w:w="0" w:type="dxa"/>
        <w:tblLayout w:type="fixed"/>
        <w:tblCellMar>
          <w:top w:w="28" w:type="dxa"/>
          <w:left w:w="28" w:type="dxa"/>
          <w:bottom w:w="28" w:type="dxa"/>
          <w:right w:w="28" w:type="dxa"/>
        </w:tblCellMar>
      </w:tblPr>
      <w:tblGrid>
        <w:gridCol w:w="3549"/>
        <w:gridCol w:w="3549"/>
      </w:tblGrid>
      <w:tr>
        <w:trPr/>
        <w:tc>
          <w:tcPr>
            <w:tcW w:w="3549" w:type="dxa"/>
            <w:tcBorders/>
            <w:vAlign w:val="center"/>
          </w:tcPr>
          <w:p>
            <w:pPr>
              <w:pStyle w:val="TableContents"/>
              <w:bidi w:val="0"/>
              <w:spacing w:before="0" w:after="0"/>
              <w:jc w:val="left"/>
              <w:rPr/>
            </w:pPr>
            <w:r>
              <w:rPr/>
              <w:t>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0"/>
                    <w:jc w:val="left"/>
                    <w:rPr/>
                  </w:pPr>
                  <w:r>
                    <w:rPr/>
                    <w:t>General Atlantic Cooperatief U.A.</w:t>
                  </w:r>
                </w:p>
              </w:tc>
            </w:tr>
          </w:tbl>
          <w:p>
            <w:pPr>
              <w:pStyle w:val="TableContents"/>
              <w:bidi w:val="0"/>
              <w:spacing w:before="0" w:after="283"/>
              <w:jc w:val="left"/>
              <w:rPr/>
            </w:pPr>
            <w:r>
              <w:rPr/>
            </w:r>
          </w:p>
        </w:tc>
        <w:tc>
          <w:tcPr>
            <w:tcW w:w="35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4"/>
        <w:gridCol w:w="4451"/>
      </w:tblGrid>
      <w:tr>
        <w:trPr/>
        <w:tc>
          <w:tcPr>
            <w:tcW w:w="57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I.M. van der Hoorn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I.M. van der Hoorn, Director A</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4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J.V. Lepeltak</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J.V. Lepeltak, Director B</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66"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General Atlantic Partners (Bermuda) IV,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204"/>
              <w:gridCol w:w="9001"/>
            </w:tblGrid>
            <w:tr>
              <w:trPr/>
              <w:tc>
                <w:tcPr>
                  <w:tcW w:w="1204" w:type="dxa"/>
                  <w:tcBorders/>
                  <w:vAlign w:val="center"/>
                </w:tcPr>
                <w:p>
                  <w:pPr>
                    <w:pStyle w:val="TableContents"/>
                    <w:bidi w:val="0"/>
                    <w:spacing w:before="0" w:after="283"/>
                    <w:jc w:val="left"/>
                    <w:rPr/>
                  </w:pPr>
                  <w:r>
                    <w:rPr/>
                    <w:t>Signature:</w:t>
                  </w:r>
                </w:p>
              </w:tc>
              <w:tc>
                <w:tcPr>
                  <w:tcW w:w="9001" w:type="dxa"/>
                  <w:tcBorders/>
                  <w:vAlign w:val="center"/>
                </w:tcPr>
                <w:p>
                  <w:pPr>
                    <w:pStyle w:val="TableContents"/>
                    <w:bidi w:val="0"/>
                    <w:spacing w:before="0" w:after="283"/>
                    <w:jc w:val="left"/>
                    <w:rPr/>
                  </w:pPr>
                  <w:r>
                    <w:rPr/>
                    <w:t>/s/ Michael Gosk</w:t>
                  </w:r>
                </w:p>
              </w:tc>
            </w:tr>
            <w:tr>
              <w:trPr/>
              <w:tc>
                <w:tcPr>
                  <w:tcW w:w="1204" w:type="dxa"/>
                  <w:tcBorders/>
                  <w:vAlign w:val="center"/>
                </w:tcPr>
                <w:p>
                  <w:pPr>
                    <w:pStyle w:val="TableContents"/>
                    <w:bidi w:val="0"/>
                    <w:spacing w:before="0" w:after="283"/>
                    <w:jc w:val="left"/>
                    <w:rPr/>
                  </w:pPr>
                  <w:r>
                    <w:rPr/>
                    <w:t>Name/Title:</w:t>
                  </w:r>
                </w:p>
              </w:tc>
              <w:tc>
                <w:tcPr>
                  <w:tcW w:w="9001" w:type="dxa"/>
                  <w:tcBorders/>
                  <w:vAlign w:val="center"/>
                </w:tcPr>
                <w:p>
                  <w:pPr>
                    <w:pStyle w:val="TableContents"/>
                    <w:bidi w:val="0"/>
                    <w:spacing w:before="0" w:after="283"/>
                    <w:jc w:val="left"/>
                    <w:rPr/>
                  </w:pPr>
                  <w:r>
                    <w:rPr/>
                    <w:t>Michael Gosk, Managing Director of GAP (Bermuda) GP LIMITED, the GP of GAP (Bermuda) L.P., the GP of General Atlantic GenPar (Bermuda), L.P., its GP</w:t>
                  </w:r>
                </w:p>
              </w:tc>
            </w:tr>
            <w:tr>
              <w:trPr/>
              <w:tc>
                <w:tcPr>
                  <w:tcW w:w="1204" w:type="dxa"/>
                  <w:tcBorders/>
                  <w:vAlign w:val="center"/>
                </w:tcPr>
                <w:p>
                  <w:pPr>
                    <w:pStyle w:val="TableContents"/>
                    <w:bidi w:val="0"/>
                    <w:spacing w:before="0" w:after="283"/>
                    <w:jc w:val="left"/>
                    <w:rPr/>
                  </w:pPr>
                  <w:r>
                    <w:rPr/>
                    <w:t>Date:</w:t>
                  </w:r>
                </w:p>
              </w:tc>
              <w:tc>
                <w:tcPr>
                  <w:tcW w:w="9001"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9412" w:type="dxa"/>
        <w:jc w:val="left"/>
        <w:tblInd w:w="0" w:type="dxa"/>
        <w:tblLayout w:type="fixed"/>
        <w:tblCellMar>
          <w:top w:w="28" w:type="dxa"/>
          <w:left w:w="28" w:type="dxa"/>
          <w:bottom w:w="28" w:type="dxa"/>
          <w:right w:w="28" w:type="dxa"/>
        </w:tblCellMar>
      </w:tblPr>
      <w:tblGrid>
        <w:gridCol w:w="4706"/>
        <w:gridCol w:w="4706"/>
      </w:tblGrid>
      <w:tr>
        <w:trPr/>
        <w:tc>
          <w:tcPr>
            <w:tcW w:w="4706" w:type="dxa"/>
            <w:tcBorders/>
            <w:vAlign w:val="center"/>
          </w:tcPr>
          <w:p>
            <w:pPr>
              <w:pStyle w:val="TableContents"/>
              <w:bidi w:val="0"/>
              <w:spacing w:before="0" w:after="0"/>
              <w:jc w:val="left"/>
              <w:rPr/>
            </w:pPr>
            <w:r>
              <w:rPr/>
              <w:t> </w:t>
            </w:r>
          </w:p>
          <w:tbl>
            <w:tblPr>
              <w:tblW w:w="4546" w:type="dxa"/>
              <w:jc w:val="left"/>
              <w:tblInd w:w="0" w:type="dxa"/>
              <w:tblLayout w:type="fixed"/>
              <w:tblCellMar>
                <w:top w:w="28" w:type="dxa"/>
                <w:left w:w="28" w:type="dxa"/>
                <w:bottom w:w="28" w:type="dxa"/>
                <w:right w:w="28" w:type="dxa"/>
              </w:tblCellMar>
            </w:tblPr>
            <w:tblGrid>
              <w:gridCol w:w="4546"/>
            </w:tblGrid>
            <w:tr>
              <w:trPr/>
              <w:tc>
                <w:tcPr>
                  <w:tcW w:w="4546" w:type="dxa"/>
                  <w:tcBorders/>
                  <w:vAlign w:val="center"/>
                </w:tcPr>
                <w:p>
                  <w:pPr>
                    <w:pStyle w:val="TableContents"/>
                    <w:bidi w:val="0"/>
                    <w:spacing w:before="0" w:after="0"/>
                    <w:jc w:val="left"/>
                    <w:rPr/>
                  </w:pPr>
                  <w:r>
                    <w:rPr/>
                    <w:t>General Atlantic Partners (Bermuda) EU, L.P.</w:t>
                  </w:r>
                </w:p>
              </w:tc>
            </w:tr>
          </w:tbl>
          <w:p>
            <w:pPr>
              <w:pStyle w:val="TableContents"/>
              <w:bidi w:val="0"/>
              <w:spacing w:before="0" w:after="283"/>
              <w:jc w:val="left"/>
              <w:rPr/>
            </w:pPr>
            <w:r>
              <w:rPr/>
            </w:r>
          </w:p>
        </w:tc>
        <w:tc>
          <w:tcPr>
            <w:tcW w:w="47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8"/>
        <w:gridCol w:w="4297"/>
      </w:tblGrid>
      <w:tr>
        <w:trPr/>
        <w:tc>
          <w:tcPr>
            <w:tcW w:w="59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4"/>
              <w:gridCol w:w="9011"/>
            </w:tblGrid>
            <w:tr>
              <w:trPr/>
              <w:tc>
                <w:tcPr>
                  <w:tcW w:w="1194" w:type="dxa"/>
                  <w:tcBorders/>
                  <w:vAlign w:val="center"/>
                </w:tcPr>
                <w:p>
                  <w:pPr>
                    <w:pStyle w:val="TableContents"/>
                    <w:bidi w:val="0"/>
                    <w:spacing w:before="0" w:after="283"/>
                    <w:jc w:val="left"/>
                    <w:rPr/>
                  </w:pPr>
                  <w:r>
                    <w:rPr/>
                    <w:t>Signature:</w:t>
                  </w:r>
                </w:p>
              </w:tc>
              <w:tc>
                <w:tcPr>
                  <w:tcW w:w="9011" w:type="dxa"/>
                  <w:tcBorders/>
                  <w:vAlign w:val="center"/>
                </w:tcPr>
                <w:p>
                  <w:pPr>
                    <w:pStyle w:val="TableContents"/>
                    <w:bidi w:val="0"/>
                    <w:spacing w:before="0" w:after="283"/>
                    <w:jc w:val="left"/>
                    <w:rPr/>
                  </w:pPr>
                  <w:r>
                    <w:rPr/>
                    <w:t>/s/ Michael Gosk</w:t>
                  </w:r>
                </w:p>
              </w:tc>
            </w:tr>
            <w:tr>
              <w:trPr/>
              <w:tc>
                <w:tcPr>
                  <w:tcW w:w="1194" w:type="dxa"/>
                  <w:tcBorders/>
                  <w:vAlign w:val="center"/>
                </w:tcPr>
                <w:p>
                  <w:pPr>
                    <w:pStyle w:val="TableContents"/>
                    <w:bidi w:val="0"/>
                    <w:spacing w:before="0" w:after="283"/>
                    <w:jc w:val="left"/>
                    <w:rPr/>
                  </w:pPr>
                  <w:r>
                    <w:rPr/>
                    <w:t>Name/Title:</w:t>
                  </w:r>
                </w:p>
              </w:tc>
              <w:tc>
                <w:tcPr>
                  <w:tcW w:w="9011" w:type="dxa"/>
                  <w:tcBorders/>
                  <w:vAlign w:val="center"/>
                </w:tcPr>
                <w:p>
                  <w:pPr>
                    <w:pStyle w:val="TableContents"/>
                    <w:bidi w:val="0"/>
                    <w:spacing w:before="0" w:after="283"/>
                    <w:jc w:val="left"/>
                    <w:rPr/>
                  </w:pPr>
                  <w:r>
                    <w:rPr/>
                    <w:t>Michael Gosk, Managing Director of GAP (Bermuda) GP Limited, the GP of GAP (Bermuda) L.P., the GP of General Atlantic GenPar (Bermuda), L.P, its GP</w:t>
                  </w:r>
                </w:p>
              </w:tc>
            </w:tr>
            <w:tr>
              <w:trPr/>
              <w:tc>
                <w:tcPr>
                  <w:tcW w:w="1194" w:type="dxa"/>
                  <w:tcBorders/>
                  <w:vAlign w:val="center"/>
                </w:tcPr>
                <w:p>
                  <w:pPr>
                    <w:pStyle w:val="TableContents"/>
                    <w:bidi w:val="0"/>
                    <w:spacing w:before="0" w:after="283"/>
                    <w:jc w:val="left"/>
                    <w:rPr/>
                  </w:pPr>
                  <w:r>
                    <w:rPr/>
                    <w:t>Date:</w:t>
                  </w:r>
                </w:p>
              </w:tc>
              <w:tc>
                <w:tcPr>
                  <w:tcW w:w="9011"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297" w:type="dxa"/>
            <w:tcBorders/>
            <w:vAlign w:val="center"/>
          </w:tcPr>
          <w:p>
            <w:pPr>
              <w:pStyle w:val="TableContents"/>
              <w:bidi w:val="0"/>
              <w:spacing w:before="0" w:after="283"/>
              <w:jc w:val="left"/>
              <w:rPr>
                <w:sz w:val="4"/>
                <w:szCs w:val="4"/>
              </w:rPr>
            </w:pPr>
            <w:r>
              <w:rPr>
                <w:sz w:val="4"/>
                <w:szCs w:val="4"/>
              </w:rPr>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General Atlantic Partners (Lux) SCSp</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Ingrid van der Hoorn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Ingrid van der Hoorn, Manager A of General Atlantic (Lux) S.a r.l., the general partner of General Atlantic GenPar (Lux) SCSp,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William Blackwell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William Blackwell, Manager B of General Atlantic (Lux) S.a r.l., the general partner of General Atlantic GenPar (Lux) SCSp,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16" w:type="dxa"/>
            <w:tcBorders/>
            <w:vAlign w:val="center"/>
          </w:tcPr>
          <w:p>
            <w:pPr>
              <w:pStyle w:val="TableContents"/>
              <w:bidi w:val="0"/>
              <w:spacing w:before="0" w:after="283"/>
              <w:jc w:val="left"/>
              <w:rPr>
                <w:sz w:val="4"/>
                <w:szCs w:val="4"/>
              </w:rPr>
            </w:pPr>
            <w:r>
              <w:rPr>
                <w:sz w:val="4"/>
                <w:szCs w:val="4"/>
              </w:rPr>
            </w:r>
          </w:p>
        </w:tc>
      </w:tr>
    </w:tbl>
    <w:tbl>
      <w:tblPr>
        <w:tblW w:w="7068" w:type="dxa"/>
        <w:jc w:val="left"/>
        <w:tblInd w:w="0" w:type="dxa"/>
        <w:tblLayout w:type="fixed"/>
        <w:tblCellMar>
          <w:top w:w="28" w:type="dxa"/>
          <w:left w:w="28" w:type="dxa"/>
          <w:bottom w:w="28" w:type="dxa"/>
          <w:right w:w="28" w:type="dxa"/>
        </w:tblCellMar>
      </w:tblPr>
      <w:tblGrid>
        <w:gridCol w:w="3534"/>
        <w:gridCol w:w="3534"/>
      </w:tblGrid>
      <w:tr>
        <w:trPr/>
        <w:tc>
          <w:tcPr>
            <w:tcW w:w="3534" w:type="dxa"/>
            <w:tcBorders/>
            <w:vAlign w:val="center"/>
          </w:tcPr>
          <w:p>
            <w:pPr>
              <w:pStyle w:val="TableContents"/>
              <w:bidi w:val="0"/>
              <w:spacing w:before="0" w:after="0"/>
              <w:jc w:val="left"/>
              <w:rPr/>
            </w:pPr>
            <w:r>
              <w:rPr/>
              <w:t> </w:t>
            </w:r>
          </w:p>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Contents"/>
                    <w:bidi w:val="0"/>
                    <w:spacing w:before="0" w:after="0"/>
                    <w:jc w:val="left"/>
                    <w:rPr/>
                  </w:pPr>
                  <w:r>
                    <w:rPr/>
                    <w:t>General Atlantic Cooperatief, L.P.</w:t>
                  </w:r>
                </w:p>
              </w:tc>
            </w:tr>
          </w:tbl>
          <w:p>
            <w:pPr>
              <w:pStyle w:val="TableContents"/>
              <w:bidi w:val="0"/>
              <w:spacing w:before="0" w:after="283"/>
              <w:jc w:val="left"/>
              <w:rPr/>
            </w:pPr>
            <w:r>
              <w:rPr/>
            </w:r>
          </w:p>
        </w:tc>
        <w:tc>
          <w:tcPr>
            <w:tcW w:w="35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8"/>
        <w:gridCol w:w="4317"/>
      </w:tblGrid>
      <w:tr>
        <w:trPr/>
        <w:tc>
          <w:tcPr>
            <w:tcW w:w="58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Michael Gosk</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Michael Gosk, Managing Director of GAP (Bermuda) GP Limited, the general partner of GAP (Bermuda) L.P., its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17" w:type="dxa"/>
            <w:tcBorders/>
            <w:vAlign w:val="center"/>
          </w:tcPr>
          <w:p>
            <w:pPr>
              <w:pStyle w:val="TableContents"/>
              <w:bidi w:val="0"/>
              <w:spacing w:before="0" w:after="283"/>
              <w:jc w:val="left"/>
              <w:rPr>
                <w:sz w:val="4"/>
                <w:szCs w:val="4"/>
              </w:rPr>
            </w:pPr>
            <w:r>
              <w:rPr>
                <w:sz w:val="4"/>
                <w:szCs w:val="4"/>
              </w:rPr>
            </w:r>
          </w:p>
        </w:tc>
      </w:tr>
    </w:tbl>
    <w:tbl>
      <w:tblPr>
        <w:tblW w:w="4642" w:type="dxa"/>
        <w:jc w:val="left"/>
        <w:tblInd w:w="0" w:type="dxa"/>
        <w:tblLayout w:type="fixed"/>
        <w:tblCellMar>
          <w:top w:w="28" w:type="dxa"/>
          <w:left w:w="28" w:type="dxa"/>
          <w:bottom w:w="28" w:type="dxa"/>
          <w:right w:w="28" w:type="dxa"/>
        </w:tblCellMar>
      </w:tblPr>
      <w:tblGrid>
        <w:gridCol w:w="2321"/>
        <w:gridCol w:w="2321"/>
      </w:tblGrid>
      <w:tr>
        <w:trPr/>
        <w:tc>
          <w:tcPr>
            <w:tcW w:w="2321" w:type="dxa"/>
            <w:tcBorders/>
            <w:vAlign w:val="center"/>
          </w:tcPr>
          <w:p>
            <w:pPr>
              <w:pStyle w:val="TableContents"/>
              <w:bidi w:val="0"/>
              <w:spacing w:before="0" w:after="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0"/>
                    <w:jc w:val="left"/>
                    <w:rPr/>
                  </w:pPr>
                  <w:r>
                    <w:rPr/>
                    <w:t>GAP (Bermuda) L.P.</w:t>
                  </w:r>
                </w:p>
              </w:tc>
            </w:tr>
          </w:tbl>
          <w:p>
            <w:pPr>
              <w:pStyle w:val="TableContents"/>
              <w:bidi w:val="0"/>
              <w:spacing w:before="0" w:after="283"/>
              <w:jc w:val="left"/>
              <w:rPr/>
            </w:pPr>
            <w:r>
              <w:rPr/>
            </w:r>
          </w:p>
        </w:tc>
        <w:tc>
          <w:tcPr>
            <w:tcW w:w="2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8"/>
        <w:gridCol w:w="4317"/>
      </w:tblGrid>
      <w:tr>
        <w:trPr/>
        <w:tc>
          <w:tcPr>
            <w:tcW w:w="58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Michael Gosk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Michael Gosk, Managing Director of GAP (Bermuda) GP Limited, its 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17"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GAP Coinvestments III,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Michael Gosk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Michael Gosk, Managing Director of General Atlantic, L.P., its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GAP Coinvestments IV, LLC</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Michael Gosk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Michael Gosk, Managing Director of General Atlantic, L.P., its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GAP Coinvestments V, LLC</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Michael Gosk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Michael Gosk, Managing Director of General Atlantic, L.P., its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GAP Coinvestments CDA, L.P.</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9"/>
        <w:gridCol w:w="4396"/>
      </w:tblGrid>
      <w:tr>
        <w:trPr/>
        <w:tc>
          <w:tcPr>
            <w:tcW w:w="58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Michael Gosk</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Michael Gosk, Managing Director of General Atlantic, L.P., its general partner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96"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General Atlantic GenPar (Lux) SCSp</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4"/>
        <w:gridCol w:w="4421"/>
      </w:tblGrid>
      <w:tr>
        <w:trPr/>
        <w:tc>
          <w:tcPr>
            <w:tcW w:w="57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Ingrid van der Hoorn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Ingrid van der Hoorn, Manager A of General Atlantic (Lux) S.a r.l., its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4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William Blackwell</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William Blackwell, Manager B of General Atlantic (Lux) S.a r.l., its general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14"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General Atlantic (Lux) S.a r.l.</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8"/>
        <w:gridCol w:w="4447"/>
      </w:tblGrid>
      <w:tr>
        <w:trPr/>
        <w:tc>
          <w:tcPr>
            <w:tcW w:w="57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Ingrid van der Hoorn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Ingrid van der Hoorn, Manager A</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4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William Blackwell</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William Blackwell, Manager B</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8560" w:type="dxa"/>
        <w:jc w:val="left"/>
        <w:tblInd w:w="0" w:type="dxa"/>
        <w:tblLayout w:type="fixed"/>
        <w:tblCellMar>
          <w:top w:w="28" w:type="dxa"/>
          <w:left w:w="28" w:type="dxa"/>
          <w:bottom w:w="28" w:type="dxa"/>
          <w:right w:w="28" w:type="dxa"/>
        </w:tblCellMar>
      </w:tblPr>
      <w:tblGrid>
        <w:gridCol w:w="4280"/>
        <w:gridCol w:w="4280"/>
      </w:tblGrid>
      <w:tr>
        <w:trPr/>
        <w:tc>
          <w:tcPr>
            <w:tcW w:w="4280" w:type="dxa"/>
            <w:tcBorders/>
            <w:vAlign w:val="center"/>
          </w:tcPr>
          <w:p>
            <w:pPr>
              <w:pStyle w:val="TableContents"/>
              <w:bidi w:val="0"/>
              <w:spacing w:before="0" w:after="0"/>
              <w:jc w:val="left"/>
              <w:rPr/>
            </w:pPr>
            <w:r>
              <w:rPr/>
              <w:t> </w:t>
            </w:r>
          </w:p>
          <w:tbl>
            <w:tblPr>
              <w:tblW w:w="4111" w:type="dxa"/>
              <w:jc w:val="left"/>
              <w:tblInd w:w="0" w:type="dxa"/>
              <w:tblLayout w:type="fixed"/>
              <w:tblCellMar>
                <w:top w:w="28" w:type="dxa"/>
                <w:left w:w="28" w:type="dxa"/>
                <w:bottom w:w="28" w:type="dxa"/>
                <w:right w:w="28" w:type="dxa"/>
              </w:tblCellMar>
            </w:tblPr>
            <w:tblGrid>
              <w:gridCol w:w="4111"/>
            </w:tblGrid>
            <w:tr>
              <w:trPr/>
              <w:tc>
                <w:tcPr>
                  <w:tcW w:w="4111" w:type="dxa"/>
                  <w:tcBorders/>
                  <w:vAlign w:val="center"/>
                </w:tcPr>
                <w:p>
                  <w:pPr>
                    <w:pStyle w:val="TableContents"/>
                    <w:bidi w:val="0"/>
                    <w:spacing w:before="0" w:after="0"/>
                    <w:jc w:val="left"/>
                    <w:rPr/>
                  </w:pPr>
                  <w:r>
                    <w:rPr/>
                    <w:t>General Atlantic GenPar (Bermuda), L.P.</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8"/>
        <w:gridCol w:w="4317"/>
      </w:tblGrid>
      <w:tr>
        <w:trPr/>
        <w:tc>
          <w:tcPr>
            <w:tcW w:w="58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Michael Gosk</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Michael Gosk, Managing Director of GAP (Bermuda) GP Limited, the general partner of GAP (Bermuda) L.P., its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17"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General Atlantic Partners 100, L.P.</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Michael Gosk</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Michael Gosk, Managing Director of General Atlantic, L.P., the general partner of General Atlantic GenPar, L.P., its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General Atlantic (SPV) GP, LLC</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Gosk</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Gosk, Managing Director of General Atlantic, L.P., its sole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General Atlantic GenPar,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9"/>
        <w:gridCol w:w="4396"/>
      </w:tblGrid>
      <w:tr>
        <w:trPr/>
        <w:tc>
          <w:tcPr>
            <w:tcW w:w="58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Michael Gosk</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Michael Gosk, Managing Director of General Atlantic, L.P., its general partner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396"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General Atlantic (DLO), L.P.</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Michael Gosk</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Michael Gosk, Managing Director of General Atlantic (SPV) GP, LLC, its general partner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08/19/2026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b/>
        </w:rPr>
      </w:pPr>
      <w:bookmarkStart w:id="94" w:name="eh260822437_scha.htm"/>
      <w:bookmarkStart w:id="95" w:name="kseh260822437_scha"/>
      <w:bookmarkEnd w:id="94"/>
      <w:bookmarkEnd w:id="95"/>
      <w:r>
        <w:rPr>
          <w:b/>
        </w:rPr>
        <w:t>SCHEDULE A</w:t>
      </w:r>
      <w:r>
        <w:br w:type="page"/>
      </w:r>
    </w:p>
    <w:p>
      <w:pPr>
        <w:pStyle w:val="TextBody"/>
        <w:bidi w:val="0"/>
        <w:spacing w:before="60" w:after="24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240"/>
        <w:ind w:left="270" w:right="26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Members of the Partnership Committee (as of the date hereof)</w:t>
      </w:r>
    </w:p>
    <w:tbl>
      <w:tblPr>
        <w:tblW w:w="7920" w:type="dxa"/>
        <w:jc w:val="left"/>
        <w:tblInd w:w="-10" w:type="dxa"/>
        <w:tblLayout w:type="fixed"/>
        <w:tblCellMar>
          <w:top w:w="28" w:type="dxa"/>
          <w:left w:w="28" w:type="dxa"/>
          <w:bottom w:w="0" w:type="dxa"/>
          <w:right w:w="0" w:type="dxa"/>
        </w:tblCellMar>
      </w:tblPr>
      <w:tblGrid>
        <w:gridCol w:w="2075"/>
        <w:gridCol w:w="3425"/>
        <w:gridCol w:w="2420"/>
      </w:tblGrid>
      <w:tr>
        <w:trPr/>
        <w:tc>
          <w:tcPr>
            <w:tcW w:w="2075" w:type="dxa"/>
            <w:tcBorders>
              <w:top w:val="single" w:sz="8" w:space="0" w:color="000000"/>
              <w:lef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3425" w:type="dxa"/>
            <w:tcBorders>
              <w:top w:val="single" w:sz="8" w:space="0" w:color="000000"/>
              <w:lef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w:t>
            </w:r>
          </w:p>
        </w:tc>
        <w:tc>
          <w:tcPr>
            <w:tcW w:w="242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Citizenship</w:t>
            </w:r>
          </w:p>
        </w:tc>
      </w:tr>
      <w:tr>
        <w:trPr/>
        <w:tc>
          <w:tcPr>
            <w:tcW w:w="2075" w:type="dxa"/>
            <w:tcBorders>
              <w:top w:val="single" w:sz="8" w:space="0" w:color="000000"/>
              <w:left w:val="single" w:sz="8" w:space="0" w:color="000000"/>
            </w:tcBorders>
            <w:shd w:fill="C6F4F9"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E. Ford</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3425" w:type="dxa"/>
            <w:tcBorders>
              <w:top w:val="single" w:sz="8" w:space="0" w:color="000000"/>
              <w:left w:val="single" w:sz="8" w:space="0" w:color="000000"/>
            </w:tcBorders>
            <w:shd w:fill="C6F4F9"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East 52nd Street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33rd Floor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10055</w:t>
            </w:r>
          </w:p>
        </w:tc>
        <w:tc>
          <w:tcPr>
            <w:tcW w:w="2420" w:type="dxa"/>
            <w:tcBorders>
              <w:top w:val="single" w:sz="8" w:space="0" w:color="000000"/>
              <w:left w:val="single" w:sz="8" w:space="0" w:color="000000"/>
              <w:right w:val="single" w:sz="8" w:space="0" w:color="000000"/>
            </w:tcBorders>
            <w:shd w:fill="C6F4F9"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r>
      <w:tr>
        <w:trPr/>
        <w:tc>
          <w:tcPr>
            <w:tcW w:w="2075" w:type="dxa"/>
            <w:tcBorders>
              <w:top w:val="single" w:sz="8" w:space="0" w:color="000000"/>
              <w:left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Torbjorn Caesar</w:t>
            </w:r>
          </w:p>
        </w:tc>
        <w:tc>
          <w:tcPr>
            <w:tcW w:w="3425" w:type="dxa"/>
            <w:tcBorders>
              <w:top w:val="single" w:sz="8" w:space="0" w:color="000000"/>
              <w:left w:val="single" w:sz="8" w:space="0" w:color="000000"/>
            </w:tcBorders>
            <w:shd w:fill="FFFFFF"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 Park, 29, Avenue de la Porte-Neuve</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L-2227 Luxembourg</w:t>
            </w:r>
          </w:p>
        </w:tc>
        <w:tc>
          <w:tcPr>
            <w:tcW w:w="2420"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Sweden and United Kingdom</w:t>
            </w:r>
          </w:p>
        </w:tc>
      </w:tr>
      <w:tr>
        <w:trPr/>
        <w:tc>
          <w:tcPr>
            <w:tcW w:w="2075" w:type="dxa"/>
            <w:tcBorders>
              <w:top w:val="single" w:sz="8" w:space="0" w:color="000000"/>
              <w:left w:val="single" w:sz="8" w:space="0" w:color="000000"/>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Gabriel Caillaux</w:t>
            </w:r>
          </w:p>
        </w:tc>
        <w:tc>
          <w:tcPr>
            <w:tcW w:w="3425" w:type="dxa"/>
            <w:tcBorders>
              <w:top w:val="single" w:sz="8" w:space="0" w:color="000000"/>
              <w:left w:val="single" w:sz="8" w:space="0" w:color="000000"/>
            </w:tcBorders>
            <w:shd w:fill="C6F4F9"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Savile Row</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 W1S 2ET</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r>
          </w:p>
        </w:tc>
        <w:tc>
          <w:tcPr>
            <w:tcW w:w="2420" w:type="dxa"/>
            <w:tcBorders>
              <w:top w:val="single" w:sz="8" w:space="0" w:color="000000"/>
              <w:left w:val="single" w:sz="8" w:space="0" w:color="000000"/>
              <w:right w:val="single" w:sz="8" w:space="0" w:color="000000"/>
            </w:tcBorders>
            <w:shd w:fill="C6F4F9"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w:t>
            </w:r>
          </w:p>
        </w:tc>
      </w:tr>
      <w:tr>
        <w:trPr/>
        <w:tc>
          <w:tcPr>
            <w:tcW w:w="2075" w:type="dxa"/>
            <w:tcBorders>
              <w:top w:val="single" w:sz="8" w:space="0" w:color="000000"/>
              <w:left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Martín Escobari</w:t>
            </w:r>
          </w:p>
        </w:tc>
        <w:tc>
          <w:tcPr>
            <w:tcW w:w="3425" w:type="dxa"/>
            <w:tcBorders>
              <w:top w:val="single" w:sz="8" w:space="0" w:color="000000"/>
              <w:left w:val="single" w:sz="8" w:space="0" w:color="000000"/>
            </w:tcBorders>
            <w:shd w:fill="FFFFFF"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East 52nd Street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33rd Floor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10055</w:t>
            </w:r>
          </w:p>
        </w:tc>
        <w:tc>
          <w:tcPr>
            <w:tcW w:w="2420"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Bolivia and Brazil</w:t>
            </w:r>
          </w:p>
        </w:tc>
      </w:tr>
      <w:tr>
        <w:trPr/>
        <w:tc>
          <w:tcPr>
            <w:tcW w:w="2075" w:type="dxa"/>
            <w:tcBorders>
              <w:top w:val="single" w:sz="8" w:space="0" w:color="000000"/>
              <w:left w:val="single" w:sz="8" w:space="0" w:color="000000"/>
              <w:bottom w:val="single" w:sz="8"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Hodgson</w:t>
            </w:r>
          </w:p>
        </w:tc>
        <w:tc>
          <w:tcPr>
            <w:tcW w:w="3425" w:type="dxa"/>
            <w:tcBorders>
              <w:top w:val="single" w:sz="8" w:space="0" w:color="000000"/>
              <w:left w:val="single" w:sz="8" w:space="0" w:color="000000"/>
              <w:bottom w:val="single" w:sz="8" w:space="0" w:color="000000"/>
            </w:tcBorders>
            <w:shd w:fill="C6F4F9" w:val="clear"/>
            <w:tcMar>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East 52nd Street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33rd Floor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10055</w:t>
            </w:r>
          </w:p>
        </w:tc>
        <w:tc>
          <w:tcPr>
            <w:tcW w:w="2420" w:type="dxa"/>
            <w:tcBorders>
              <w:top w:val="single" w:sz="8" w:space="0" w:color="000000"/>
              <w:left w:val="single" w:sz="8" w:space="0" w:color="000000"/>
              <w:bottom w:val="single" w:sz="8" w:space="0" w:color="000000"/>
              <w:right w:val="single" w:sz="8" w:space="0" w:color="000000"/>
            </w:tcBorders>
            <w:shd w:fill="C6F4F9" w:val="clear"/>
            <w:tcMar>
              <w:bottom w:w="28"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r>
      <w:tr>
        <w:trPr/>
        <w:tc>
          <w:tcPr>
            <w:tcW w:w="2075"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Lanning</w:t>
            </w:r>
          </w:p>
        </w:tc>
        <w:tc>
          <w:tcPr>
            <w:tcW w:w="3425" w:type="dxa"/>
            <w:tcBorders>
              <w:left w:val="single" w:sz="8" w:space="0" w:color="000000"/>
              <w:bottom w:val="single" w:sz="8" w:space="0" w:color="000000"/>
            </w:tcBorders>
            <w:shd w:fill="FFFFFF" w:val="clear"/>
            <w:tcMar>
              <w:top w:w="0" w:type="dxa"/>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East 52nd Street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33rd Floor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10055</w:t>
            </w:r>
          </w:p>
        </w:tc>
        <w:tc>
          <w:tcPr>
            <w:tcW w:w="2420" w:type="dxa"/>
            <w:tcBorders>
              <w:left w:val="single" w:sz="8" w:space="0" w:color="000000"/>
              <w:bottom w:val="single" w:sz="8" w:space="0" w:color="000000"/>
              <w:right w:val="single" w:sz="8" w:space="0" w:color="000000"/>
            </w:tcBorders>
            <w:shd w:fill="FFFFFF" w:val="clear"/>
            <w:tcMar>
              <w:top w:w="0" w:type="dxa"/>
              <w:bottom w:w="28"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r>
    </w:tbl>
    <w:p>
      <w:pPr>
        <w:pStyle w:val="TextBody"/>
        <w:bidi w:val="0"/>
        <w:spacing w:before="0" w:after="0"/>
        <w:ind w:left="270" w:right="260" w:hanging="0"/>
        <w:jc w:val="center"/>
        <w:rPr>
          <w:caps w:val="false"/>
          <w:smallCaps w:val="false"/>
        </w:rPr>
      </w:pPr>
      <w:r>
        <w:rPr>
          <w:caps w:val="false"/>
          <w:smallCaps w:val="false"/>
        </w:rPr>
        <w:t> </w:t>
      </w:r>
    </w:p>
    <w:p>
      <w:pPr>
        <w:pStyle w:val="TextBody"/>
        <w:bidi w:val="0"/>
        <w:spacing w:before="0" w:after="0"/>
        <w:ind w:left="270" w:right="260" w:hanging="0"/>
        <w:jc w:val="center"/>
        <w:rPr>
          <w:caps w:val="false"/>
          <w:smallCaps w:val="false"/>
        </w:rPr>
      </w:pPr>
      <w:r>
        <w:rPr>
          <w:caps w:val="false"/>
          <w:smallCaps w:val="false"/>
        </w:rPr>
        <w:t> </w:t>
      </w:r>
    </w:p>
    <w:p>
      <w:pPr>
        <w:pStyle w:val="TextBody"/>
        <w:bidi w:val="0"/>
        <w:spacing w:before="0" w:after="0"/>
        <w:ind w:left="270" w:right="260" w:hanging="0"/>
        <w:jc w:val="center"/>
        <w:rPr>
          <w:caps w:val="false"/>
          <w:smallCaps w:val="false"/>
        </w:rPr>
      </w:pPr>
      <w:r>
        <w:rPr>
          <w:caps w:val="false"/>
          <w:smallCaps w:val="false"/>
        </w:rPr>
        <w:t> </w:t>
      </w:r>
    </w:p>
    <w:p>
      <w:pPr>
        <w:pStyle w:val="TextBody"/>
        <w:bidi w:val="0"/>
        <w:spacing w:before="0" w:after="0"/>
        <w:ind w:left="270" w:right="260" w:hanging="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fontTable" Target="fontTable.xml"/><Relationship Id="rId8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5639</Words>
  <Characters>29072</Characters>
  <CharactersWithSpaces>34163</CharactersWithSpaces>
  <Paragraphs>1242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