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370840</wp:posOffset>
            </wp:positionH>
            <wp:positionV relativeFrom="page">
              <wp:posOffset>431800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42"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283210</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309880</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6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For the month of November 2022</w:t>
      </w:r>
    </w:p>
    <w:p>
      <w:pPr>
        <w:spacing w:after="0" w:line="19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Commission File Number: 001-40451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304800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39"/>
          <w:szCs w:val="39"/>
          <w:b w:val="1"/>
          <w:bCs w:val="1"/>
          <w:color w:val="auto"/>
        </w:rPr>
        <w:t>DLocal Limited</w:t>
      </w:r>
    </w:p>
    <w:p>
      <w:pPr>
        <w:spacing w:after="0" w:line="3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292100</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Dr. Luis Bonavita 1294</w:t>
      </w:r>
    </w:p>
    <w:p>
      <w:pPr>
        <w:spacing w:after="0" w:line="2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Montevideo</w:t>
      </w:r>
    </w:p>
    <w:p>
      <w:pPr>
        <w:ind w:left="4840"/>
        <w:spacing w:after="0" w:line="235" w:lineRule="auto"/>
        <w:rPr>
          <w:sz w:val="20"/>
          <w:szCs w:val="20"/>
          <w:color w:val="auto"/>
        </w:rPr>
      </w:pPr>
      <w:r>
        <w:rPr>
          <w:rFonts w:ascii="Times New Roman" w:cs="Times New Roman" w:eastAsia="Times New Roman" w:hAnsi="Times New Roman"/>
          <w:sz w:val="16"/>
          <w:szCs w:val="16"/>
          <w:b w:val="1"/>
          <w:bCs w:val="1"/>
          <w:color w:val="auto"/>
        </w:rPr>
        <w:t>Uruguay 11300</w:t>
      </w: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+1 (424) 392-7437</w:t>
      </w:r>
    </w:p>
    <w:p>
      <w:pPr>
        <w:spacing w:after="0" w:line="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286385</wp:posOffset>
            </wp:positionV>
            <wp:extent cx="1062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8" w:lineRule="exact"/>
        <w:rPr>
          <w:sz w:val="24"/>
          <w:szCs w:val="24"/>
          <w:color w:val="auto"/>
        </w:rPr>
      </w:pPr>
    </w:p>
    <w:p>
      <w:pPr>
        <w:ind w:left="4200"/>
        <w:spacing w:after="0" w:line="184" w:lineRule="exact"/>
        <w:tabs>
          <w:tab w:leader="none" w:pos="558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w:t>
      </w:r>
    </w:p>
    <w:p>
      <w:pPr>
        <w:spacing w:after="0" w:line="168" w:lineRule="exact"/>
        <w:rPr>
          <w:sz w:val="24"/>
          <w:szCs w:val="24"/>
          <w:color w:val="auto"/>
        </w:rPr>
      </w:pPr>
    </w:p>
    <w:p>
      <w:pPr>
        <w:ind w:left="4680"/>
        <w:spacing w:after="0" w:line="184" w:lineRule="exact"/>
        <w:tabs>
          <w:tab w:leader="none" w:pos="56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w:t>
      </w:r>
    </w:p>
    <w:p>
      <w:pPr>
        <w:spacing w:after="0" w:line="168" w:lineRule="exact"/>
        <w:rPr>
          <w:sz w:val="24"/>
          <w:szCs w:val="24"/>
          <w:color w:val="auto"/>
        </w:rPr>
      </w:pPr>
    </w:p>
    <w:p>
      <w:pPr>
        <w:ind w:left="4680"/>
        <w:spacing w:after="0" w:line="184" w:lineRule="exact"/>
        <w:tabs>
          <w:tab w:leader="none" w:pos="560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448310</wp:posOffset>
            </wp:positionV>
            <wp:extent cx="6806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513080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79"/>
          </w:cols>
          <w:pgMar w:left="580" w:top="722" w:right="1440"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214630</wp:posOffset>
            </wp:positionH>
            <wp:positionV relativeFrom="page">
              <wp:posOffset>189865</wp:posOffset>
            </wp:positionV>
            <wp:extent cx="71278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46990"/>
                    </a:xfrm>
                    <a:prstGeom prst="rect">
                      <a:avLst/>
                    </a:prstGeom>
                    <a:noFill/>
                  </pic:spPr>
                </pic:pic>
              </a:graphicData>
            </a:graphic>
          </wp:anchor>
        </w:drawing>
        <w:t>TABLE OF CONTENTS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7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dated November 14, 2022 - DLocal Limited Reports 2022 Third Quarter Results</w:t>
      </w:r>
    </w:p>
    <w:p>
      <w:pPr>
        <w:spacing w:after="0" w:line="221" w:lineRule="exact"/>
        <w:rPr>
          <w:sz w:val="20"/>
          <w:szCs w:val="20"/>
          <w:color w:val="auto"/>
        </w:rPr>
      </w:pPr>
    </w:p>
    <w:p>
      <w:pPr>
        <w:ind w:left="780" w:hanging="768"/>
        <w:spacing w:after="0" w:line="245" w:lineRule="auto"/>
        <w:tabs>
          <w:tab w:leader="none" w:pos="7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6"/>
          <w:szCs w:val="16"/>
          <w:u w:val="single" w:color="auto"/>
          <w:color w:val="0000FF"/>
        </w:rPr>
        <w:t>DLocal Limited Unaudited Consolidated Condensed Interim Financial Statements as of September 30, 2022 and for the nine-month and three-month periods ended September 30, 2022 and 2021</w:t>
      </w:r>
    </w:p>
    <w:p>
      <w:pPr>
        <w:spacing w:after="0" w:line="1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99.3</w:t>
      </w:r>
      <w:r>
        <w:rPr>
          <w:sz w:val="20"/>
          <w:szCs w:val="20"/>
          <w:color w:val="auto"/>
        </w:rPr>
        <w:tab/>
      </w:r>
      <w:r>
        <w:rPr>
          <w:rFonts w:ascii="Times New Roman" w:cs="Times New Roman" w:eastAsia="Times New Roman" w:hAnsi="Times New Roman"/>
          <w:sz w:val="16"/>
          <w:szCs w:val="16"/>
          <w:u w:val="single" w:color="auto"/>
          <w:color w:val="0000FF"/>
        </w:rPr>
        <w:t>Quaterly Report 2022 - dLocal Reports 2022 Third Quarter Financial results</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99.4</w:t>
      </w:r>
      <w:r>
        <w:rPr>
          <w:sz w:val="20"/>
          <w:szCs w:val="20"/>
          <w:color w:val="auto"/>
        </w:rPr>
        <w:tab/>
      </w:r>
      <w:r>
        <w:rPr>
          <w:rFonts w:ascii="Times New Roman" w:cs="Times New Roman" w:eastAsia="Times New Roman" w:hAnsi="Times New Roman"/>
          <w:sz w:val="16"/>
          <w:szCs w:val="16"/>
          <w:u w:val="single" w:color="auto"/>
          <w:color w:val="0000FF"/>
        </w:rPr>
        <w:t>dLocal Q3 2022 Earnings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205105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560" w:top="502" w:right="9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214630</wp:posOffset>
            </wp:positionH>
            <wp:positionV relativeFrom="page">
              <wp:posOffset>189865</wp:posOffset>
            </wp:positionV>
            <wp:extent cx="71278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46990"/>
                    </a:xfrm>
                    <a:prstGeom prst="rect">
                      <a:avLst/>
                    </a:prstGeom>
                    <a:noFill/>
                  </pic:spPr>
                </pic:pic>
              </a:graphicData>
            </a:graphic>
          </wp:anchor>
        </w:drawing>
        <w:t>SIGNATURE</w:t>
      </w:r>
    </w:p>
    <w:p>
      <w:pPr>
        <w:spacing w:after="0" w:line="196" w:lineRule="exact"/>
        <w:rPr>
          <w:sz w:val="20"/>
          <w:szCs w:val="20"/>
          <w:color w:val="auto"/>
        </w:rPr>
      </w:pPr>
    </w:p>
    <w:p>
      <w:pPr>
        <w:ind w:firstLine="458"/>
        <w:spacing w:after="0" w:line="33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1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DLocal Limited</w:t>
      </w:r>
    </w:p>
    <w:p>
      <w:pPr>
        <w:spacing w:after="0" w:line="237" w:lineRule="exact"/>
        <w:rPr>
          <w:sz w:val="20"/>
          <w:szCs w:val="20"/>
          <w:color w:val="auto"/>
        </w:rPr>
      </w:pPr>
    </w:p>
    <w:tbl>
      <w:tblPr>
        <w:tblLayout w:type="fixed"/>
        <w:tblInd w:w="540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Diego Cabrera Canay</w:t>
            </w:r>
          </w:p>
        </w:tc>
      </w:tr>
      <w:tr>
        <w:trPr>
          <w:trHeight w:val="202"/>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Diego Cabrera Canay</w:t>
            </w:r>
          </w:p>
        </w:tc>
      </w:tr>
      <w:tr>
        <w:trPr>
          <w:trHeight w:val="224"/>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502" w:right="7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153670</wp:posOffset>
            </wp:positionV>
            <wp:extent cx="171450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dLocal Limited Reports 2022 Third Quarter Financial Results</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Third Quarter 2022</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US$2.7 billion Total Payment Volume, up 51% year-over-year</w:t>
      </w:r>
    </w:p>
    <w:p>
      <w:pPr>
        <w:jc w:val="center"/>
        <w:ind w:right="40"/>
        <w:spacing w:after="0" w:line="235" w:lineRule="auto"/>
        <w:rPr>
          <w:sz w:val="20"/>
          <w:szCs w:val="20"/>
          <w:color w:val="auto"/>
        </w:rPr>
      </w:pPr>
      <w:r>
        <w:rPr>
          <w:rFonts w:ascii="Times New Roman" w:cs="Times New Roman" w:eastAsia="Times New Roman" w:hAnsi="Times New Roman"/>
          <w:sz w:val="16"/>
          <w:szCs w:val="16"/>
          <w:i w:val="1"/>
          <w:iCs w:val="1"/>
          <w:color w:val="auto"/>
        </w:rPr>
        <w:t>Revenues of US$112 million, up 63% year-over-year</w:t>
      </w:r>
    </w:p>
    <w:p>
      <w:pPr>
        <w:jc w:val="center"/>
        <w:spacing w:after="0"/>
        <w:rPr>
          <w:sz w:val="20"/>
          <w:szCs w:val="20"/>
          <w:color w:val="auto"/>
        </w:rPr>
      </w:pPr>
      <w:r>
        <w:rPr>
          <w:rFonts w:ascii="Times New Roman" w:cs="Times New Roman" w:eastAsia="Times New Roman" w:hAnsi="Times New Roman"/>
          <w:sz w:val="16"/>
          <w:szCs w:val="16"/>
          <w:i w:val="1"/>
          <w:iCs w:val="1"/>
          <w:color w:val="auto"/>
        </w:rPr>
        <w:t>152% Net Revenue Retention Rate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37% Adjusted EBITDA Margin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dLocal reports in US dollars and in accordance with IFRS as issued by the IASB</w:t>
      </w:r>
    </w:p>
    <w:p>
      <w:pPr>
        <w:spacing w:after="0" w:line="154"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Montevideo, Uruguay November 14, 2022 — DLocal Limited (“dLocal”, “we”, “us”, and “our”) (NASDAQ:DLO), a technology- first payments platform, announced its financial results today for the third quarter ended September 30, 2022.</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delivered another quarter of record results, reaching U$2.7 billion in TPV and US$112 million in revenues. We saw robust growth in TPV increasing by 51% and revenues further accelerating 63% year-over-year, despite the high comparison base from last year, and both metrics increasing by 12% and 11%, respectively, quarter-over-quarter. The growth has been supported by our disciplined execution and lean culture, in addition to our business strength of continuous diversification across verticals, regions, and products. Throughout recent quarters, we have been committed to growing outside Latin America, and we are very pleased to announce the impressive results we reached in Q3 2022. Revenues from Africa and Asia increased by four times year-over-year and 80% quarter-over-quarter, reaching US$25 million. These strong results over just a three-month period surpassed the US$21 million recorded in the entire twelve months of 2021. In Q3 2022, Africa and Asia revenues already contributed to 22% of our total revenues, which is a proven record that our strategic decision making is paying off.</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continue to deliver on our strategy of maximizing gross profit and EBITDA dollars. During the third quarter, gross profit increased to US$54 million, up by 56% year-over-year, whereas Adjusted EBITDA was up by 58% year-over-year to US$42 million. Both metrics increased by 9% quarter-over-quarter. This was reflected in a solid adjusted EBITDA margin of 37%, in line with the 38% recorded in the past four quarters, while we continue to invest in our business with discipline by increasing our headcount 34% year-over-year to 712 employees.</w:t>
      </w:r>
    </w:p>
    <w:p>
      <w:pPr>
        <w:spacing w:after="0" w:line="16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continue to drive our expansion across emerging markets, launching operations in two new countries, Nicaragua and Saudi Arabia, bringing the total number of countries in which we operate to 39, as we balance the expansion of our operations into new countries with strengthening our presence in existing markets.</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Our track record of disciplined, high profitable growth and our strong balance sheet, give us confidence that we are uniquely positioned to fulfill our long-term growth strategy while navigating a challenging global macro environment. We will seek to continue building the best financial infrastructure across multiple emerging markets for our merchants through the One dLocal model: one contract, one single platform, and one API,” said Sebastian Kanovich.</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2022 Financial Highlights</w:t>
      </w:r>
    </w:p>
    <w:p>
      <w:pPr>
        <w:spacing w:after="0" w:line="223" w:lineRule="exact"/>
        <w:rPr>
          <w:sz w:val="20"/>
          <w:szCs w:val="20"/>
          <w:color w:val="auto"/>
        </w:rPr>
      </w:pPr>
    </w:p>
    <w:p>
      <w:pPr>
        <w:ind w:left="760" w:right="20" w:hanging="378"/>
        <w:spacing w:after="0" w:line="280"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Payment Volume (“TPV”) reached US$2.7 billion in the quarter, representing 51% year-over-year growth compared to US$1.8 billion in the third quarter of 2021 and 12% growth compared to $2.4 billion in the second quarter of 2022.</w:t>
      </w:r>
    </w:p>
    <w:p>
      <w:pPr>
        <w:spacing w:after="0" w:line="56" w:lineRule="exact"/>
        <w:rPr>
          <w:rFonts w:ascii="Times New Roman" w:cs="Times New Roman" w:eastAsia="Times New Roman" w:hAnsi="Times New Roman"/>
          <w:sz w:val="16"/>
          <w:szCs w:val="16"/>
          <w:color w:val="auto"/>
        </w:rPr>
      </w:pPr>
    </w:p>
    <w:p>
      <w:pPr>
        <w:ind w:left="760" w:right="20" w:hanging="378"/>
        <w:spacing w:after="0" w:line="280"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in the third quarter of 2022 amounted to US$111.9 million, up 63% year-over-year compared to US$68.6 million in the third quarter of 2021 and up 11% compared to $101.2 million in the second quarter of 2022.</w:t>
      </w:r>
    </w:p>
    <w:p>
      <w:pPr>
        <w:spacing w:after="0" w:line="43" w:lineRule="exact"/>
        <w:rPr>
          <w:rFonts w:ascii="Times New Roman" w:cs="Times New Roman" w:eastAsia="Times New Roman" w:hAnsi="Times New Roman"/>
          <w:sz w:val="16"/>
          <w:szCs w:val="16"/>
          <w:color w:val="auto"/>
        </w:rPr>
      </w:pPr>
    </w:p>
    <w:p>
      <w:pPr>
        <w:ind w:left="760" w:right="20" w:hanging="378"/>
        <w:spacing w:after="0" w:line="280"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was US$53.9 million in the third quarter of 2022, up 56% year-over-year compared to US$34.4 million in the third quarter of 2021 and up 9% compared to US$49.6 million in the second quarter of 2022.</w:t>
      </w:r>
    </w:p>
    <w:p>
      <w:pPr>
        <w:spacing w:after="0" w:line="56"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margin was 48% in the third quarter of 2022, compared to 49% in the second quarter of 2022 and 50% in the third quarter of 2021. The slight decrease in gross margin is mainly attributable to country mix and product mix.</w:t>
      </w:r>
    </w:p>
    <w:p>
      <w:pPr>
        <w:spacing w:after="0" w:line="56" w:lineRule="exact"/>
        <w:rPr>
          <w:rFonts w:ascii="Times New Roman" w:cs="Times New Roman" w:eastAsia="Times New Roman" w:hAnsi="Times New Roman"/>
          <w:sz w:val="16"/>
          <w:szCs w:val="16"/>
          <w:color w:val="auto"/>
        </w:rPr>
      </w:pPr>
    </w:p>
    <w:p>
      <w:pPr>
        <w:ind w:left="760" w:hanging="378"/>
        <w:spacing w:after="0" w:line="263"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US$41.6 million in the third quarter of 2022, up 58% year-over-year compared to US$26.3 million in the third quarter of 2021 and up 9% compared to US$38.2 million in the second quarter of 2022.</w:t>
      </w:r>
    </w:p>
    <w:p>
      <w:pPr>
        <w:spacing w:after="0" w:line="6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was 37% in the third quarter of 2022, compared to 38% in both the third quarter of 2021 and the second quarter of 2022.</w:t>
      </w:r>
    </w:p>
    <w:p>
      <w:pPr>
        <w:spacing w:after="0" w:line="113" w:lineRule="exact"/>
        <w:rPr>
          <w:rFonts w:ascii="Times New Roman" w:cs="Times New Roman" w:eastAsia="Times New Roman" w:hAnsi="Times New Roman"/>
          <w:sz w:val="16"/>
          <w:szCs w:val="16"/>
          <w:color w:val="auto"/>
        </w:rPr>
      </w:pPr>
    </w:p>
    <w:p>
      <w:pPr>
        <w:jc w:val="both"/>
        <w:ind w:left="760" w:hanging="378"/>
        <w:spacing w:after="0" w:line="252" w:lineRule="auto"/>
        <w:tabs>
          <w:tab w:leader="none" w:pos="7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Profit for the third quarter of 2022 was US$32.3 million, or US$0.10 per diluted share, up 64% compared to a profit of US$19.7 million, or US$0.06 per diluted share, for the third quarter of 2021 and up 5% compared to a profit of US$30.7 million, or US$0.10 per diluted share, for the second quarter of 2022. Profit for the third quarter of 2022 included higher net financial losses of US$2.5 million, mainly driven by higher cost of hedges, as a result of adapting to changes in FX regulations, in addition to higher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jc w:val="both"/>
        <w:ind w:left="378" w:hanging="378"/>
        <w:spacing w:after="0" w:line="263" w:lineRule="auto"/>
        <w:tabs>
          <w:tab w:leader="none" w:pos="378"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2022, dLocal had US$542.3 million in cash, cash equivalents and marketable securities, compared to US$454.0 million as of June 30, 2022 and US$293.1 million as of September 30, 2021. The quarter-over-quarter increase of US$88.3 million reflects an increase of US$49.8 million in our funds and an increase of US$38.5 million in merchants’ funds with respect to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306070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The following table summarizes our key performance metrics:</w:t>
      </w:r>
    </w:p>
    <w:p>
      <w:pPr>
        <w:spacing w:after="0" w:line="262"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82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212529"/>
              </w:rPr>
              <w:t>Three months ended</w:t>
            </w:r>
          </w:p>
        </w:tc>
        <w:tc>
          <w:tcPr>
            <w:tcW w:w="120" w:type="dxa"/>
            <w:vAlign w:val="bottom"/>
          </w:tcPr>
          <w:p>
            <w:pPr>
              <w:spacing w:after="0"/>
              <w:rPr>
                <w:sz w:val="18"/>
                <w:szCs w:val="18"/>
                <w:color w:val="auto"/>
              </w:rPr>
            </w:pPr>
          </w:p>
        </w:tc>
        <w:tc>
          <w:tcPr>
            <w:tcW w:w="282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212529"/>
              </w:rPr>
              <w:t>Nine months ended</w:t>
            </w: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vMerge w:val="restart"/>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480" w:type="dxa"/>
            <w:vAlign w:val="bottom"/>
          </w:tcPr>
          <w:p>
            <w:pPr>
              <w:jc w:val="right"/>
              <w:ind w:right="239"/>
              <w:spacing w:after="0" w:line="153" w:lineRule="exact"/>
              <w:rPr>
                <w:sz w:val="20"/>
                <w:szCs w:val="20"/>
                <w:color w:val="auto"/>
              </w:rPr>
            </w:pPr>
            <w:r>
              <w:rPr>
                <w:rFonts w:ascii="Times New Roman" w:cs="Times New Roman" w:eastAsia="Times New Roman" w:hAnsi="Times New Roman"/>
                <w:sz w:val="16"/>
                <w:szCs w:val="16"/>
                <w:b w:val="1"/>
                <w:bCs w:val="1"/>
                <w:color w:val="212529"/>
              </w:rPr>
              <w:t>September 30,</w:t>
            </w:r>
          </w:p>
        </w:tc>
        <w:tc>
          <w:tcPr>
            <w:tcW w:w="1340" w:type="dxa"/>
            <w:vAlign w:val="bottom"/>
          </w:tcPr>
          <w:p>
            <w:pPr>
              <w:jc w:val="right"/>
              <w:ind w:right="119"/>
              <w:spacing w:after="0" w:line="153" w:lineRule="exact"/>
              <w:rPr>
                <w:sz w:val="20"/>
                <w:szCs w:val="20"/>
                <w:color w:val="auto"/>
              </w:rPr>
            </w:pPr>
            <w:r>
              <w:rPr>
                <w:rFonts w:ascii="Times New Roman" w:cs="Times New Roman" w:eastAsia="Times New Roman" w:hAnsi="Times New Roman"/>
                <w:sz w:val="16"/>
                <w:szCs w:val="16"/>
                <w:b w:val="1"/>
                <w:bCs w:val="1"/>
                <w:color w:val="212529"/>
              </w:rPr>
              <w:t>September 30,</w:t>
            </w:r>
          </w:p>
        </w:tc>
        <w:tc>
          <w:tcPr>
            <w:tcW w:w="120" w:type="dxa"/>
            <w:vAlign w:val="bottom"/>
            <w:vMerge w:val="continue"/>
          </w:tcPr>
          <w:p>
            <w:pPr>
              <w:spacing w:after="0"/>
              <w:rPr>
                <w:sz w:val="13"/>
                <w:szCs w:val="13"/>
                <w:color w:val="auto"/>
              </w:rPr>
            </w:pPr>
          </w:p>
        </w:tc>
        <w:tc>
          <w:tcPr>
            <w:tcW w:w="1480" w:type="dxa"/>
            <w:vAlign w:val="bottom"/>
          </w:tcPr>
          <w:p>
            <w:pPr>
              <w:jc w:val="right"/>
              <w:ind w:right="259"/>
              <w:spacing w:after="0" w:line="153" w:lineRule="exact"/>
              <w:rPr>
                <w:sz w:val="20"/>
                <w:szCs w:val="20"/>
                <w:color w:val="auto"/>
              </w:rPr>
            </w:pPr>
            <w:r>
              <w:rPr>
                <w:rFonts w:ascii="Times New Roman" w:cs="Times New Roman" w:eastAsia="Times New Roman" w:hAnsi="Times New Roman"/>
                <w:sz w:val="16"/>
                <w:szCs w:val="16"/>
                <w:b w:val="1"/>
                <w:bCs w:val="1"/>
                <w:color w:val="212529"/>
              </w:rPr>
              <w:t>September 30,</w:t>
            </w:r>
          </w:p>
        </w:tc>
        <w:tc>
          <w:tcPr>
            <w:tcW w:w="1340" w:type="dxa"/>
            <w:vAlign w:val="bottom"/>
          </w:tcPr>
          <w:p>
            <w:pPr>
              <w:jc w:val="right"/>
              <w:ind w:right="119"/>
              <w:spacing w:after="0" w:line="153" w:lineRule="exact"/>
              <w:rPr>
                <w:sz w:val="20"/>
                <w:szCs w:val="20"/>
                <w:color w:val="auto"/>
              </w:rPr>
            </w:pPr>
            <w:r>
              <w:rPr>
                <w:rFonts w:ascii="Times New Roman" w:cs="Times New Roman" w:eastAsia="Times New Roman" w:hAnsi="Times New Roman"/>
                <w:sz w:val="16"/>
                <w:szCs w:val="16"/>
                <w:b w:val="1"/>
                <w:bCs w:val="1"/>
                <w:color w:val="212529"/>
              </w:rPr>
              <w:t>September 30,</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4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212529"/>
              </w:rPr>
              <w:t>2022</w:t>
            </w: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212529"/>
              </w:rPr>
              <w:t>2021</w:t>
            </w: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212529"/>
              </w:rPr>
              <w:t>2022</w:t>
            </w: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212529"/>
              </w:rPr>
              <w:t>2021</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3"/>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4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212529"/>
              </w:rPr>
              <w:t>(in millions of US$ except for %)</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12529"/>
              </w:rPr>
              <w:t>Key Performance Metrics</w:t>
            </w:r>
          </w:p>
        </w:tc>
        <w:tc>
          <w:tcPr>
            <w:tcW w:w="1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1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212529"/>
              </w:rPr>
              <w:t>TPV</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12529"/>
              </w:rPr>
              <w:t>2,734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1,812</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212529"/>
              </w:rPr>
              <w:t>7,271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4,193</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i w:val="1"/>
                <w:iCs w:val="1"/>
                <w:color w:val="212529"/>
              </w:rPr>
              <w:t>TPV growth YoY</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51%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217%</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73%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221%</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212529"/>
              </w:rPr>
              <w:t>Revenue</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12529"/>
              </w:rPr>
              <w:t>111.9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68.6</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212529"/>
              </w:rPr>
              <w:t>300.5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167.9</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i w:val="1"/>
                <w:iCs w:val="1"/>
                <w:color w:val="212529"/>
              </w:rPr>
              <w:t>Revenue growth YoY</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63%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123%</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79%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142%</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212529"/>
              </w:rPr>
              <w:t>Adj. EBITDA</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12529"/>
              </w:rPr>
              <w:t>41.6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26.3</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212529"/>
              </w:rPr>
              <w:t>112.7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212529"/>
              </w:rPr>
              <w:t>70.1</w:t>
            </w:r>
          </w:p>
        </w:tc>
        <w:tc>
          <w:tcPr>
            <w:tcW w:w="0" w:type="dxa"/>
            <w:vAlign w:val="bottom"/>
          </w:tcPr>
          <w:p>
            <w:pPr>
              <w:spacing w:after="0"/>
              <w:rPr>
                <w:sz w:val="1"/>
                <w:szCs w:val="1"/>
                <w:color w:val="auto"/>
              </w:rPr>
            </w:pPr>
          </w:p>
        </w:tc>
      </w:tr>
      <w:tr>
        <w:trPr>
          <w:trHeight w:val="378"/>
        </w:trPr>
        <w:tc>
          <w:tcPr>
            <w:tcW w:w="3100" w:type="dxa"/>
            <w:vAlign w:val="bottom"/>
          </w:tcPr>
          <w:p>
            <w:pPr>
              <w:spacing w:after="0"/>
              <w:rPr>
                <w:sz w:val="20"/>
                <w:szCs w:val="20"/>
                <w:color w:val="auto"/>
              </w:rPr>
            </w:pPr>
            <w:r>
              <w:rPr>
                <w:rFonts w:ascii="Times New Roman" w:cs="Times New Roman" w:eastAsia="Times New Roman" w:hAnsi="Times New Roman"/>
                <w:sz w:val="16"/>
                <w:szCs w:val="16"/>
                <w:i w:val="1"/>
                <w:iCs w:val="1"/>
                <w:color w:val="212529"/>
              </w:rPr>
              <w:t>Adj. EBITDA Margin</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38%</w:t>
            </w:r>
          </w:p>
        </w:tc>
        <w:tc>
          <w:tcPr>
            <w:tcW w:w="16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212529"/>
              </w:rPr>
              <w:t>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21252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2022 Business Highlights</w:t>
      </w:r>
    </w:p>
    <w:p>
      <w:pPr>
        <w:spacing w:after="0" w:line="115" w:lineRule="exact"/>
        <w:rPr>
          <w:sz w:val="20"/>
          <w:szCs w:val="20"/>
          <w:color w:val="auto"/>
        </w:rPr>
      </w:pPr>
    </w:p>
    <w:p>
      <w:pPr>
        <w:jc w:val="both"/>
        <w:ind w:left="760" w:hanging="378"/>
        <w:spacing w:after="0" w:line="263"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dLocal is well diversified across verticals, so its business does not depend on the performance of any single industry vertical. During the third quarter of 2022, dLocal saw strong year-over-year and quarter-over-quarter growth in TPV driven by the performance and continued growth of its merchants across most verticals, particularly in commerce, on-demand delivery, travel, SaaS (“software as a service”), advertising and financial services.</w:t>
      </w:r>
    </w:p>
    <w:p>
      <w:pPr>
        <w:spacing w:after="0" w:line="56" w:lineRule="exact"/>
        <w:rPr>
          <w:rFonts w:ascii="Times New Roman" w:cs="Times New Roman" w:eastAsia="Times New Roman" w:hAnsi="Times New Roman"/>
          <w:sz w:val="16"/>
          <w:szCs w:val="16"/>
          <w:color w:val="auto"/>
        </w:rPr>
      </w:pPr>
    </w:p>
    <w:p>
      <w:pPr>
        <w:ind w:left="760" w:hanging="378"/>
        <w:spacing w:after="0" w:line="280"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dLocal is also well diversified across geographies. In Q3 2022 dLocal continued to focus on its expansion efforts and added Nicaragua and Saudi Arabia to its geographic network, bringing the total number of countries in which dLocal operates to 39, out of which 23 countries are outside Latin America.</w:t>
      </w:r>
    </w:p>
    <w:p>
      <w:pPr>
        <w:spacing w:after="0" w:line="56" w:lineRule="exact"/>
        <w:rPr>
          <w:rFonts w:ascii="Times New Roman" w:cs="Times New Roman" w:eastAsia="Times New Roman" w:hAnsi="Times New Roman"/>
          <w:sz w:val="16"/>
          <w:szCs w:val="16"/>
          <w:color w:val="auto"/>
        </w:rPr>
      </w:pPr>
    </w:p>
    <w:p>
      <w:pPr>
        <w:jc w:val="both"/>
        <w:ind w:left="760" w:hanging="378"/>
        <w:spacing w:after="0" w:line="250"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increased across all regions during the quarter. LatAm grew 39% compared to the third quarter of 2021 to US$87.3 million, while flat quarter-over-quarter, accounting for 78% of total revenue. If we exclude Argentina’s cross-border business, where the market faced some limitations imposed by the Argentine Central Bank to access the foreign exchange market for the payment of certain imports of goods and services, LatAm revenue increased by 43% year-over-year and 7% quarter-over-quarter. Asia &amp; Africa revenue increased by 312% year-over-year and 80% quarter-over-quarter to US$24.5 million, accounting for the remaining 22% (compared to 9% of total revenue in the third quarter of 2021).</w:t>
      </w:r>
    </w:p>
    <w:p>
      <w:pPr>
        <w:spacing w:after="0" w:line="81" w:lineRule="exact"/>
        <w:rPr>
          <w:rFonts w:ascii="Times New Roman" w:cs="Times New Roman" w:eastAsia="Times New Roman" w:hAnsi="Times New Roman"/>
          <w:sz w:val="16"/>
          <w:szCs w:val="16"/>
          <w:color w:val="auto"/>
        </w:rPr>
      </w:pPr>
    </w:p>
    <w:p>
      <w:pPr>
        <w:jc w:val="both"/>
        <w:ind w:left="760" w:hanging="378"/>
        <w:spacing w:after="0" w:line="263" w:lineRule="auto"/>
        <w:tabs>
          <w:tab w:leader="none" w:pos="7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dLocal continued delivering strong revenue growth both from existing and from new customers. Revenue from Existing Merchants increased by US$35.1 million in the third quarter of 2022 to US$104.1 million. The net revenue retention rate, or NRR, in the third quarter of 2022 reached 152%. Revenue from New Merchants was US$7.8 million for the third quarter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Adjusted EBITDA and Adjusted EBITDA Margin</w:t>
      </w:r>
    </w:p>
    <w:p>
      <w:pPr>
        <w:spacing w:after="0" w:line="19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dLocal has only one operating segment. dLocal measures its operating segment’s performance by Revenues, Adjusted EBITDA and Adjusted EBITDA Margin, and uses these metrics to make decisions about allocating resources.</w:t>
      </w:r>
    </w:p>
    <w:p>
      <w:pPr>
        <w:spacing w:after="0" w:line="200" w:lineRule="exact"/>
        <w:rPr>
          <w:sz w:val="20"/>
          <w:szCs w:val="20"/>
          <w:color w:val="auto"/>
        </w:rPr>
      </w:pPr>
    </w:p>
    <w:p>
      <w:pPr>
        <w:spacing w:after="0" w:line="26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6"/>
          <w:szCs w:val="16"/>
          <w:color w:val="auto"/>
        </w:rPr>
        <w:t>Adjusted EBITDA as used by dLocal is defined as the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instruments carried at fair value through profit or loss, impairment gains/(losses) on financial assets, transaction costs, share-based payment non-cash charges, secondary offering expenses, and inflation adjustment. dLocal defines Adjusted EBITDA Margin as the Adjusted EBITDA divided by consolidated revenues.</w:t>
      </w:r>
    </w:p>
    <w:p>
      <w:pPr>
        <w:spacing w:after="0" w:line="200" w:lineRule="exact"/>
        <w:rPr>
          <w:sz w:val="20"/>
          <w:szCs w:val="20"/>
          <w:color w:val="auto"/>
        </w:rPr>
      </w:pPr>
    </w:p>
    <w:p>
      <w:pPr>
        <w:spacing w:after="0" w:line="291"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6"/>
          <w:szCs w:val="16"/>
          <w:color w:val="auto"/>
        </w:rPr>
        <w:t>Although Adjusted EBITDA and Adjusted EBITDA Margin may be commonly viewed as non-IFRS measures in other contexts, pursuant to IFRS 8, (“Operating Segments”), Adjusted EBITDA and Adjusted EBITDA Margin are treated by dLocal as IFRS measures based on the manner in which dLocal utilizes these measures. Nevertheless, dLocal’s Adjusted EBITDA and Adjusted EBITDA Margin metrics should not be viewed in isolation or as a substitute for net income for the periods presented under IFRS. dLocal also believes that its Adjusted EBITDA and Adjusted EBITDA Margin metrics are useful metrics used by analysts and investors, although these measures are not explicitly defined under IFRS. Additionally, the way dLocal calculates operating segment’s performance measures may be different from the calculations used by other entities, including competitors, and therefore, dLocal’s performance measures may not be comparable to those of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entities.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a reconciliation of dLocal’s Adjusted EBITDA and Adjusted EBITDA Margin to net income:</w:t>
      </w:r>
    </w:p>
    <w:p>
      <w:pPr>
        <w:spacing w:after="0" w:line="359"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0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of US$ except for %</w:t>
            </w:r>
          </w:p>
        </w:tc>
        <w:tc>
          <w:tcPr>
            <w:tcW w:w="31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Three-months ended September 30</w:t>
            </w:r>
          </w:p>
        </w:tc>
        <w:tc>
          <w:tcPr>
            <w:tcW w:w="260" w:type="dxa"/>
            <w:vAlign w:val="bottom"/>
          </w:tcPr>
          <w:p>
            <w:pPr>
              <w:spacing w:after="0"/>
              <w:rPr>
                <w:sz w:val="16"/>
                <w:szCs w:val="16"/>
                <w:color w:val="auto"/>
              </w:rPr>
            </w:pPr>
          </w:p>
        </w:tc>
        <w:tc>
          <w:tcPr>
            <w:tcW w:w="276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Nine-months ended</w:t>
            </w:r>
          </w:p>
        </w:tc>
        <w:tc>
          <w:tcPr>
            <w:tcW w:w="0" w:type="dxa"/>
            <w:vAlign w:val="bottom"/>
          </w:tcPr>
          <w:p>
            <w:pPr>
              <w:spacing w:after="0"/>
              <w:rPr>
                <w:sz w:val="1"/>
                <w:szCs w:val="1"/>
                <w:color w:val="auto"/>
              </w:rPr>
            </w:pPr>
          </w:p>
        </w:tc>
      </w:tr>
      <w:tr>
        <w:trPr>
          <w:trHeight w:val="118"/>
        </w:trPr>
        <w:tc>
          <w:tcPr>
            <w:tcW w:w="3020" w:type="dxa"/>
            <w:vAlign w:val="bottom"/>
            <w:vMerge w:val="continue"/>
          </w:tcPr>
          <w:p>
            <w:pPr>
              <w:spacing w:after="0"/>
              <w:rPr>
                <w:sz w:val="10"/>
                <w:szCs w:val="10"/>
                <w:color w:val="auto"/>
              </w:rPr>
            </w:pPr>
          </w:p>
        </w:tc>
        <w:tc>
          <w:tcPr>
            <w:tcW w:w="3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0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020" w:type="dxa"/>
            <w:vAlign w:val="bottom"/>
          </w:tcPr>
          <w:p>
            <w:pPr>
              <w:spacing w:after="0"/>
              <w:rPr>
                <w:sz w:val="18"/>
                <w:szCs w:val="18"/>
                <w:color w:val="auto"/>
              </w:rPr>
            </w:pP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180" w:type="dxa"/>
            <w:vAlign w:val="bottom"/>
            <w:gridSpan w:val="2"/>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3"/>
        </w:trPr>
        <w:tc>
          <w:tcPr>
            <w:tcW w:w="30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32,338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19,669</w:t>
            </w:r>
          </w:p>
        </w:tc>
        <w:tc>
          <w:tcPr>
            <w:tcW w:w="218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89,333</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54,304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29210</wp:posOffset>
            </wp:positionV>
            <wp:extent cx="5846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ectPr>
          <w:pgSz w:w="11900" w:h="16838" w:orient="portrait"/>
          <w:cols w:equalWidth="0" w:num="1">
            <w:col w:w="10740"/>
          </w:cols>
          <w:pgMar w:left="320" w:top="111" w:right="839" w:bottom="1440" w:gutter="0" w:footer="0" w:header="0"/>
        </w:sectPr>
      </w:pPr>
    </w:p>
    <w:p>
      <w:pPr>
        <w:spacing w:after="0" w:line="71"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Income tax expense</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2,287</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2,558</w:t>
            </w:r>
          </w:p>
        </w:tc>
      </w:tr>
      <w:tr>
        <w:trPr>
          <w:trHeight w:val="270"/>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Depreciation and amortization</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2,110</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1,381</w:t>
            </w:r>
          </w:p>
        </w:tc>
      </w:tr>
      <w:tr>
        <w:trPr>
          <w:trHeight w:val="233"/>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Finance income and costs, net</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2,479</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(865)</w:t>
            </w:r>
          </w:p>
        </w:tc>
      </w:tr>
      <w:tr>
        <w:trPr>
          <w:trHeight w:val="203"/>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Share-based payment non-cash charges</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1,599</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2,673</w:t>
            </w:r>
          </w:p>
        </w:tc>
      </w:tr>
      <w:tr>
        <w:trPr>
          <w:trHeight w:val="212"/>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Other operating loss/(gain)</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18</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81"/>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Secondary offering expenses</w:t>
            </w:r>
            <w:r>
              <w:rPr>
                <w:rFonts w:ascii="Times New Roman" w:cs="Times New Roman" w:eastAsia="Times New Roman" w:hAnsi="Times New Roman"/>
                <w:sz w:val="21"/>
                <w:szCs w:val="21"/>
                <w:i w:val="1"/>
                <w:iCs w:val="1"/>
                <w:color w:val="auto"/>
                <w:vertAlign w:val="superscript"/>
              </w:rPr>
              <w:t>1</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695</w:t>
            </w:r>
          </w:p>
        </w:tc>
      </w:tr>
      <w:tr>
        <w:trPr>
          <w:trHeight w:val="238"/>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Transaction costs</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211</w:t>
            </w:r>
          </w:p>
        </w:tc>
      </w:tr>
      <w:tr>
        <w:trPr>
          <w:trHeight w:val="251"/>
        </w:trPr>
        <w:tc>
          <w:tcPr>
            <w:tcW w:w="336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Other charges, net</w:t>
            </w:r>
          </w:p>
        </w:tc>
        <w:tc>
          <w:tcPr>
            <w:tcW w:w="1740" w:type="dxa"/>
            <w:vAlign w:val="bottom"/>
          </w:tcPr>
          <w:p>
            <w:pPr>
              <w:jc w:val="right"/>
              <w:ind w:right="458"/>
              <w:spacing w:after="0"/>
              <w:rPr>
                <w:sz w:val="20"/>
                <w:szCs w:val="20"/>
                <w:color w:val="auto"/>
              </w:rPr>
            </w:pPr>
            <w:r>
              <w:rPr>
                <w:rFonts w:ascii="Times New Roman" w:cs="Times New Roman" w:eastAsia="Times New Roman" w:hAnsi="Times New Roman"/>
                <w:sz w:val="16"/>
                <w:szCs w:val="16"/>
                <w:i w:val="1"/>
                <w:iCs w:val="1"/>
                <w:color w:val="auto"/>
              </w:rPr>
              <w:t>791</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(3)</w:t>
            </w:r>
          </w:p>
        </w:tc>
      </w:tr>
      <w:tr>
        <w:trPr>
          <w:trHeight w:val="47"/>
        </w:trPr>
        <w:tc>
          <w:tcPr>
            <w:tcW w:w="33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96"/>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7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41,622</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26,319</w:t>
            </w:r>
          </w:p>
        </w:tc>
      </w:tr>
      <w:tr>
        <w:trPr>
          <w:trHeight w:val="196"/>
        </w:trPr>
        <w:tc>
          <w:tcPr>
            <w:tcW w:w="3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6"/>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7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111,864</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68,646</w:t>
            </w:r>
          </w:p>
        </w:tc>
      </w:tr>
      <w:tr>
        <w:trPr>
          <w:trHeight w:val="196"/>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7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41,622</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26,319</w:t>
            </w:r>
          </w:p>
        </w:tc>
      </w:tr>
      <w:tr>
        <w:trPr>
          <w:trHeight w:val="196"/>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7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37.2%</w:t>
            </w: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38.3%</w:t>
            </w:r>
          </w:p>
        </w:tc>
      </w:tr>
    </w:tbl>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12"/>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w w:val="99"/>
              </w:rPr>
              <w:t>7,651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5,533</w:t>
            </w:r>
          </w:p>
        </w:tc>
      </w:tr>
      <w:tr>
        <w:trPr>
          <w:trHeight w:val="270"/>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w w:val="99"/>
              </w:rPr>
              <w:t>5,690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3,240</w:t>
            </w:r>
          </w:p>
        </w:tc>
      </w:tr>
      <w:tr>
        <w:trPr>
          <w:trHeight w:val="233"/>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w w:val="99"/>
              </w:rPr>
              <w:t>3,519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(762)</w:t>
            </w:r>
          </w:p>
        </w:tc>
      </w:tr>
      <w:tr>
        <w:trPr>
          <w:trHeight w:val="203"/>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w w:val="99"/>
              </w:rPr>
              <w:t>4,874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5,354</w:t>
            </w:r>
          </w:p>
        </w:tc>
      </w:tr>
      <w:tr>
        <w:trPr>
          <w:trHeight w:val="212"/>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rPr>
              <w:t>706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(2,896)</w:t>
            </w:r>
          </w:p>
        </w:tc>
      </w:tr>
      <w:tr>
        <w:trPr>
          <w:trHeight w:val="229"/>
        </w:trPr>
        <w:tc>
          <w:tcPr>
            <w:tcW w:w="900" w:type="dxa"/>
            <w:vAlign w:val="bottom"/>
          </w:tcPr>
          <w:p>
            <w:pPr>
              <w:jc w:val="right"/>
              <w:ind w:right="439"/>
              <w:spacing w:after="0"/>
              <w:rPr>
                <w:sz w:val="20"/>
                <w:szCs w:val="20"/>
                <w:color w:val="auto"/>
              </w:rPr>
            </w:pPr>
            <w:r>
              <w:rPr>
                <w:rFonts w:ascii="Times New Roman" w:cs="Times New Roman" w:eastAsia="Times New Roman" w:hAnsi="Times New Roman"/>
                <w:sz w:val="16"/>
                <w:szCs w:val="16"/>
                <w:i w:val="1"/>
                <w:iCs w:val="1"/>
                <w:color w:val="auto"/>
              </w:rPr>
              <w:t>89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4,442</w:t>
            </w:r>
          </w:p>
        </w:tc>
      </w:tr>
    </w:tbl>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i w:val="1"/>
          <w:iCs w:val="1"/>
          <w:color w:val="auto"/>
        </w:rPr>
        <w:t>665</w:t>
      </w:r>
    </w:p>
    <w:p>
      <w:pPr>
        <w:spacing w:after="0" w:line="70" w:lineRule="exact"/>
        <w:rPr>
          <w:sz w:val="20"/>
          <w:szCs w:val="20"/>
          <w:color w:val="auto"/>
        </w:rPr>
      </w:pPr>
    </w:p>
    <w:p>
      <w:pPr>
        <w:ind w:left="1800" w:hanging="1511"/>
        <w:spacing w:after="0"/>
        <w:tabs>
          <w:tab w:leader="none" w:pos="180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205</w:t>
      </w:r>
    </w:p>
    <w:p>
      <w:pPr>
        <w:spacing w:after="0" w:line="72" w:lineRule="exact"/>
        <w:rPr>
          <w:rFonts w:ascii="Times New Roman" w:cs="Times New Roman" w:eastAsia="Times New Roman" w:hAnsi="Times New Roman"/>
          <w:sz w:val="16"/>
          <w:szCs w:val="16"/>
          <w:i w:val="1"/>
          <w:iCs w:val="1"/>
          <w:color w:val="auto"/>
        </w:rPr>
      </w:pPr>
    </w:p>
    <w:p>
      <w:pPr>
        <w:ind w:left="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b w:val="1"/>
          <w:bCs w:val="1"/>
          <w:color w:val="auto"/>
        </w:rPr>
        <w:t>112,66170,085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-114935</wp:posOffset>
            </wp:positionV>
            <wp:extent cx="1757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21590</wp:posOffset>
            </wp:positionV>
            <wp:extent cx="17570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28"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300,497</w:t>
      </w:r>
      <w:r>
        <w:rPr>
          <w:sz w:val="20"/>
          <w:szCs w:val="20"/>
          <w:color w:val="auto"/>
        </w:rPr>
        <w:tab/>
      </w:r>
      <w:r>
        <w:rPr>
          <w:rFonts w:ascii="Times New Roman" w:cs="Times New Roman" w:eastAsia="Times New Roman" w:hAnsi="Times New Roman"/>
          <w:sz w:val="16"/>
          <w:szCs w:val="16"/>
          <w:b w:val="1"/>
          <w:bCs w:val="1"/>
          <w:color w:val="auto"/>
        </w:rPr>
        <w:t>167,863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-114935</wp:posOffset>
            </wp:positionV>
            <wp:extent cx="1757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6"/>
          <w:szCs w:val="16"/>
          <w:b w:val="1"/>
          <w:bCs w:val="1"/>
          <w:color w:val="auto"/>
        </w:rPr>
        <w:t>112,661</w:t>
      </w:r>
      <w:r>
        <w:rPr>
          <w:sz w:val="20"/>
          <w:szCs w:val="20"/>
          <w:color w:val="auto"/>
        </w:rPr>
        <w:tab/>
      </w:r>
      <w:r>
        <w:rPr>
          <w:rFonts w:ascii="Times New Roman" w:cs="Times New Roman" w:eastAsia="Times New Roman" w:hAnsi="Times New Roman"/>
          <w:sz w:val="16"/>
          <w:szCs w:val="16"/>
          <w:b w:val="1"/>
          <w:bCs w:val="1"/>
          <w:color w:val="auto"/>
        </w:rPr>
        <w:t>70,085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-114935</wp:posOffset>
            </wp:positionV>
            <wp:extent cx="1757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2" w:lineRule="exact"/>
        <w:rPr>
          <w:sz w:val="20"/>
          <w:szCs w:val="20"/>
          <w:color w:val="auto"/>
        </w:rPr>
      </w:pPr>
    </w:p>
    <w:p>
      <w:pPr>
        <w:ind w:left="80"/>
        <w:spacing w:after="0"/>
        <w:tabs>
          <w:tab w:leader="none" w:pos="1580" w:val="left"/>
        </w:tabs>
        <w:rPr>
          <w:sz w:val="20"/>
          <w:szCs w:val="20"/>
          <w:color w:val="auto"/>
        </w:rPr>
      </w:pPr>
      <w:r>
        <w:rPr>
          <w:rFonts w:ascii="Times New Roman" w:cs="Times New Roman" w:eastAsia="Times New Roman" w:hAnsi="Times New Roman"/>
          <w:sz w:val="16"/>
          <w:szCs w:val="16"/>
          <w:b w:val="1"/>
          <w:bCs w:val="1"/>
          <w:color w:val="auto"/>
        </w:rPr>
        <w:t>37.5%</w:t>
      </w:r>
      <w:r>
        <w:rPr>
          <w:sz w:val="20"/>
          <w:szCs w:val="20"/>
          <w:color w:val="auto"/>
        </w:rPr>
        <w:tab/>
      </w:r>
      <w:r>
        <w:rPr>
          <w:rFonts w:ascii="Times New Roman" w:cs="Times New Roman" w:eastAsia="Times New Roman" w:hAnsi="Times New Roman"/>
          <w:sz w:val="16"/>
          <w:szCs w:val="16"/>
          <w:b w:val="1"/>
          <w:bCs w:val="1"/>
          <w:color w:val="auto"/>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-114935</wp:posOffset>
            </wp:positionV>
            <wp:extent cx="17570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21590</wp:posOffset>
            </wp:positionV>
            <wp:extent cx="1757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360" w:space="720"/>
            <w:col w:w="2660"/>
          </w:cols>
          <w:pgMar w:left="320" w:top="111" w:right="839" w:bottom="1440" w:gutter="0" w:footer="0" w:header="0"/>
          <w:type w:val="continuous"/>
        </w:sectPr>
      </w:pPr>
    </w:p>
    <w:p>
      <w:pPr>
        <w:ind w:left="160" w:firstLine="1"/>
        <w:spacing w:after="0" w:line="219" w:lineRule="auto"/>
        <w:tabs>
          <w:tab w:leader="none" w:pos="25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Secondary expenses for the nine-months ended September 30, 2022 corresponds to expenses assumed by dLocal in relation to the secondary offering of its shares occurred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1" w:right="8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19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We calculate basic earnings per share by dividing the profit attributable to equity holders by the weighted average number of common shares issued and outstanding during the three-months and nine-months periods ended September 30, 2022 and 2021.</w:t>
      </w:r>
    </w:p>
    <w:p>
      <w:pPr>
        <w:spacing w:after="0" w:line="200" w:lineRule="exact"/>
        <w:rPr>
          <w:sz w:val="20"/>
          <w:szCs w:val="20"/>
          <w:color w:val="auto"/>
        </w:rPr>
      </w:pPr>
    </w:p>
    <w:p>
      <w:pPr>
        <w:spacing w:after="0" w:line="27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Our diluted earnings per share is calculated by dividing the profit attributable to equity holders of dLocal by the weighted average number of common shares outstanding during the period plus the weighted average number of common shares that would be issued on conversion of all dilutive potential common shares into common shares.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information used as basis for the calculation of our earnings per share:</w:t>
      </w:r>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8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three-month period ended</w:t>
            </w:r>
          </w:p>
        </w:tc>
        <w:tc>
          <w:tcPr>
            <w:tcW w:w="260" w:type="dxa"/>
            <w:vAlign w:val="bottom"/>
          </w:tcPr>
          <w:p>
            <w:pPr>
              <w:spacing w:after="0"/>
              <w:rPr>
                <w:sz w:val="16"/>
                <w:szCs w:val="16"/>
                <w:color w:val="auto"/>
              </w:rPr>
            </w:pPr>
          </w:p>
        </w:tc>
        <w:tc>
          <w:tcPr>
            <w:tcW w:w="2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nine-month period ended</w:t>
            </w:r>
          </w:p>
        </w:tc>
      </w:tr>
      <w:tr>
        <w:trPr>
          <w:trHeight w:val="212"/>
        </w:trPr>
        <w:tc>
          <w:tcPr>
            <w:tcW w:w="3340" w:type="dxa"/>
            <w:vAlign w:val="bottom"/>
          </w:tcPr>
          <w:p>
            <w:pPr>
              <w:spacing w:after="0"/>
              <w:rPr>
                <w:sz w:val="18"/>
                <w:szCs w:val="18"/>
                <w:color w:val="auto"/>
              </w:rPr>
            </w:pPr>
          </w:p>
        </w:tc>
        <w:tc>
          <w:tcPr>
            <w:tcW w:w="1920" w:type="dxa"/>
            <w:vAlign w:val="bottom"/>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r>
      <w:tr>
        <w:trPr>
          <w:trHeight w:val="73"/>
        </w:trPr>
        <w:tc>
          <w:tcPr>
            <w:tcW w:w="33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8"/>
        </w:trPr>
        <w:tc>
          <w:tcPr>
            <w:tcW w:w="3340" w:type="dxa"/>
            <w:vAlign w:val="bottom"/>
          </w:tcPr>
          <w:p>
            <w:pPr>
              <w:spacing w:after="0"/>
              <w:rPr>
                <w:sz w:val="22"/>
                <w:szCs w:val="22"/>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160" w:type="dxa"/>
            <w:vAlign w:val="bottom"/>
            <w:gridSpan w:val="2"/>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73"/>
        </w:trPr>
        <w:tc>
          <w:tcPr>
            <w:tcW w:w="33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Profit attributable to common shareholders (U.S.</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32,461,922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19,663,000</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89,325,969</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54,291,000</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Dollars)</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295,918,751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293,558,997</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295,455,429</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284,456,779</w:t>
            </w:r>
          </w:p>
        </w:tc>
      </w:t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 calculation of diluted earnings</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17,246,606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19,646,000</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17,783,776</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19,609,500</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per share</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9"/>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for</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313,165,357</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313,204,997</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313,239,205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304,066,279</w:t>
            </w: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calculating diluted earnings per share</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2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0.07</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0.30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0.19</w:t>
            </w:r>
          </w:p>
        </w:tc>
      </w:tr>
      <w:tr>
        <w:trPr>
          <w:trHeight w:val="73"/>
        </w:trPr>
        <w:tc>
          <w:tcPr>
            <w:tcW w:w="33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0.10</w:t>
            </w: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0.06</w:t>
            </w:r>
          </w:p>
        </w:tc>
        <w:tc>
          <w:tcPr>
            <w:tcW w:w="216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color w:val="auto"/>
              </w:rPr>
              <w:t>0.29</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0.18</w:t>
            </w:r>
          </w:p>
        </w:tc>
      </w:tr>
      <w:tr>
        <w:trPr>
          <w:trHeight w:val="73"/>
        </w:trPr>
        <w:tc>
          <w:tcPr>
            <w:tcW w:w="334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This press release does not contain sufficient information to constitute an interim financial report as defined in International Accounting Standards 34, “Interim Financial Reporting” nor a financial statement as defined by International Accounting Standards 1 “Presentation of Financial Statements”. The financial information in this press release has not been 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Webcast</w:t>
      </w:r>
    </w:p>
    <w:p>
      <w:pPr>
        <w:spacing w:after="0" w:line="115"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 xml:space="preserve">dLocal’s management team will host a conference call and audio webcast on November 15, 2022 at 8:30 a.m. Eastern Time. Please </w:t>
      </w:r>
      <w:r>
        <w:rPr>
          <w:rFonts w:ascii="Times New Roman" w:cs="Times New Roman" w:eastAsia="Times New Roman" w:hAnsi="Times New Roman"/>
          <w:sz w:val="16"/>
          <w:szCs w:val="16"/>
          <w:u w:val="single" w:color="auto"/>
          <w:color w:val="auto"/>
        </w:rPr>
        <w:t>click here</w:t>
      </w:r>
      <w:r>
        <w:rPr>
          <w:rFonts w:ascii="Times New Roman" w:cs="Times New Roman" w:eastAsia="Times New Roman" w:hAnsi="Times New Roman"/>
          <w:sz w:val="16"/>
          <w:szCs w:val="16"/>
          <w:color w:val="auto"/>
        </w:rPr>
        <w:t xml:space="preserve"> to pre-register for the conference call and obtain your dial in number and passcode.</w:t>
      </w:r>
    </w:p>
    <w:p>
      <w:pPr>
        <w:spacing w:after="0" w:line="200" w:lineRule="exact"/>
        <w:rPr>
          <w:sz w:val="20"/>
          <w:szCs w:val="20"/>
          <w:color w:val="auto"/>
        </w:rPr>
      </w:pPr>
    </w:p>
    <w:p>
      <w:pPr>
        <w:spacing w:after="0" w:line="32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live conference call can be accessed via audio webcast at the investor relations section of dLocal’s website, at https://investor.dlocal.com/. An archive of the webcast will be available for a year following the conclusion of the conference call. The investor presentation will also be filed on EDGAR at www.sec.gov.</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dLocal</w:t>
      </w:r>
    </w:p>
    <w:p>
      <w:pPr>
        <w:spacing w:after="0" w:line="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dLocal powers local payments in emerging markets, connecting global enterprise merchants with billions of emerging market consumers in 39 countries across APAC, the Middle East, Latin America, and Africa. Through the “One dLocal” platform (one direct API, one platform, and one contract), global companies can accept payments, send pay-outs and settle funds globally without the need to manage separate pay-in and pay-out processors, set up numerous local entities, and integrate multiple acquirers and payment methods in each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2" w:right="439" w:bottom="1440" w:gutter="0" w:footer="0" w:header="0"/>
        </w:sectPr>
      </w:pPr>
    </w:p>
    <w:bookmarkStart w:id="8" w:name="page9"/>
    <w:bookmarkEnd w:id="8"/>
    <w:p>
      <w:pPr>
        <w:ind w:left="120"/>
        <w:spacing w:after="0"/>
        <w:rPr>
          <w:sz w:val="20"/>
          <w:szCs w:val="20"/>
          <w:color w:val="auto"/>
        </w:rPr>
      </w:pPr>
      <w:r>
        <w:rPr>
          <w:rFonts w:ascii="Times New Roman" w:cs="Times New Roman" w:eastAsia="Times New Roman" w:hAnsi="Times New Roman"/>
          <w:sz w:val="16"/>
          <w:szCs w:val="16"/>
          <w:b w:val="1"/>
          <w:bCs w:val="1"/>
          <w:color w:val="auto"/>
        </w:rPr>
        <w:t>Definition of Selected Operational Metrics</w:t>
      </w:r>
    </w:p>
    <w:p>
      <w:pPr>
        <w:spacing w:after="0" w:line="98"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“API” </w:t>
      </w:r>
      <w:r>
        <w:rPr>
          <w:rFonts w:ascii="Times New Roman" w:cs="Times New Roman" w:eastAsia="Times New Roman" w:hAnsi="Times New Roman"/>
          <w:sz w:val="16"/>
          <w:szCs w:val="16"/>
          <w:color w:val="auto"/>
        </w:rPr>
        <w:t>means application programming interface, which is a general term for programming techniques that are available for software developers when they integrate with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particular service or application. In the payments industry, APIs are usually provided by any party participating in the money flow (such as payment gateways, processors, and service providers) to facilitate the money transfer process.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“Enterprise Global Merchants” </w:t>
      </w:r>
      <w:r>
        <w:rPr>
          <w:rFonts w:ascii="Times New Roman" w:cs="Times New Roman" w:eastAsia="Times New Roman" w:hAnsi="Times New Roman"/>
          <w:sz w:val="16"/>
          <w:szCs w:val="16"/>
          <w:color w:val="auto"/>
        </w:rPr>
        <w:t>means merchants with at least US$6 million of annual TPV processed through our platform.</w:t>
      </w:r>
    </w:p>
    <w:p>
      <w:pPr>
        <w:spacing w:after="0" w:line="15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“Local payment methods” </w:t>
      </w:r>
      <w:r>
        <w:rPr>
          <w:rFonts w:ascii="Times New Roman" w:cs="Times New Roman" w:eastAsia="Times New Roman" w:hAnsi="Times New Roman"/>
          <w:sz w:val="16"/>
          <w:szCs w:val="16"/>
          <w:color w:val="auto"/>
        </w:rPr>
        <w:t>refers to any payment method that is processed in the country where the end user of the merchant sending or receiving payments is located,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include credit and debit cards, cash payments, bank transfers, mobile money, and digital wallets.</w:t>
      </w:r>
    </w:p>
    <w:p>
      <w:pPr>
        <w:spacing w:after="0" w:line="1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“NRR” </w:t>
      </w:r>
      <w:r>
        <w:rPr>
          <w:rFonts w:ascii="Times New Roman" w:cs="Times New Roman" w:eastAsia="Times New Roman" w:hAnsi="Times New Roman"/>
          <w:sz w:val="16"/>
          <w:szCs w:val="16"/>
          <w:color w:val="auto"/>
        </w:rPr>
        <w:t>means net revenue retention rate, which is the U.S. dollar-based measure of retention and growth of our merchants. We calculate the NRR of a period by dividing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current period revenue by the prior period revenue. The prior period revenue is the revenue billed by us to all of our merchant customers in the corresponding period for the prior fiscal year. The current period revenue is the revenue billed by us in the corresponding period for the current fiscal year to the same merchant customers included in the calculation of the prior period revenue. Current period revenue includes any upsells and cross sells of products, geographies, and payment methods to such merchant customers, and is net of any contractions or attrition, but excludes revenue from new customers on-boarded during the last 12 months.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“Pay-in” </w:t>
      </w:r>
      <w:r>
        <w:rPr>
          <w:rFonts w:ascii="Times New Roman" w:cs="Times New Roman" w:eastAsia="Times New Roman" w:hAnsi="Times New Roman"/>
          <w:sz w:val="16"/>
          <w:szCs w:val="16"/>
          <w:color w:val="auto"/>
        </w:rPr>
        <w:t>means a payment transaction whereby dLocal’s merchant customers receive payment from their customers.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“Pay-out” </w:t>
      </w:r>
      <w:r>
        <w:rPr>
          <w:rFonts w:ascii="Times New Roman" w:cs="Times New Roman" w:eastAsia="Times New Roman" w:hAnsi="Times New Roman"/>
          <w:sz w:val="16"/>
          <w:szCs w:val="16"/>
          <w:color w:val="auto"/>
        </w:rPr>
        <w:t>means a payment transaction whereby dLocal disburses money in local currency to the business partners or customers of dLocal’s merchant customers.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“Revenue from New Merchants” </w:t>
      </w:r>
      <w:r>
        <w:rPr>
          <w:rFonts w:ascii="Times New Roman" w:cs="Times New Roman" w:eastAsia="Times New Roman" w:hAnsi="Times New Roman"/>
          <w:sz w:val="16"/>
          <w:szCs w:val="16"/>
          <w:color w:val="auto"/>
        </w:rPr>
        <w:t>means the revenue billed by us to merchant customers that we did not bill revenues in the same quarter (or period) of the prior year.</w:t>
      </w:r>
    </w:p>
    <w:p>
      <w:pPr>
        <w:spacing w:after="0" w:line="15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from Existing Merchants” </w:t>
      </w:r>
      <w:r>
        <w:rPr>
          <w:rFonts w:ascii="Times New Roman" w:cs="Times New Roman" w:eastAsia="Times New Roman" w:hAnsi="Times New Roman"/>
          <w:sz w:val="16"/>
          <w:szCs w:val="16"/>
          <w:color w:val="auto"/>
        </w:rPr>
        <w:t>means the revenue billed by us in the last twelve months to the merchant customers that we billed revenue in the same quarter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of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1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This press release contains certain forward-looking statements. These forward-looking statements convey dLocal’s current expectations or forecasts of future events. Forward-looking statements regarding dLocal involve known and unknown risks, uncertainties and other factors that may cause dLocal’s actual results, performance or achievements to be materially different from any future results, performances or achievements expressed or implied by the forward-looking statements. Certain of these risks and uncertainties are described in the “Risk Factors,” “Forward-Looking Statements” and “Cautionary Statement Regarding Forward-Looking Statements” sections of dLocal’s filings with the U.S. Securities and Exchange Commission. Unless required by law, dLocal undertakes no obligation to publicly update or revise any forward-looking statements to reflect circumstances or events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DLocal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interim financial information</w:t>
      </w:r>
    </w:p>
    <w:p>
      <w:pPr>
        <w:spacing w:after="0" w:line="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b w:val="1"/>
          <w:bCs w:val="1"/>
          <w:color w:val="231F20"/>
        </w:rPr>
        <w:t>Consolidated Condensed Interim Statements of Comprehensive Income for the three-month and nine-month periods ended September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amounts,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28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76"/>
        </w:trPr>
        <w:tc>
          <w:tcPr>
            <w:tcW w:w="5780" w:type="dxa"/>
            <w:vAlign w:val="bottom"/>
          </w:tcPr>
          <w:p>
            <w:pPr>
              <w:spacing w:after="0"/>
              <w:rPr>
                <w:sz w:val="15"/>
                <w:szCs w:val="15"/>
                <w:color w:val="auto"/>
              </w:rPr>
            </w:pPr>
          </w:p>
        </w:tc>
        <w:tc>
          <w:tcPr>
            <w:tcW w:w="1400" w:type="dxa"/>
            <w:vAlign w:val="bottom"/>
            <w:gridSpan w:val="2"/>
          </w:tcPr>
          <w:p>
            <w:pPr>
              <w:jc w:val="right"/>
              <w:ind w:right="2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gridSpan w:val="2"/>
          </w:tcPr>
          <w:p>
            <w:pPr>
              <w:jc w:val="right"/>
              <w:ind w:right="2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780" w:type="dxa"/>
            <w:vAlign w:val="bottom"/>
          </w:tcPr>
          <w:p>
            <w:pPr>
              <w:spacing w:after="0"/>
              <w:rPr>
                <w:sz w:val="17"/>
                <w:szCs w:val="17"/>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111,864</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300,497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167,863</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(57,992 )</w:t>
            </w:r>
          </w:p>
        </w:tc>
        <w:tc>
          <w:tcPr>
            <w:tcW w:w="1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(34,202 )</w:t>
            </w:r>
          </w:p>
        </w:tc>
        <w:tc>
          <w:tcPr>
            <w:tcW w:w="1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(153,432 )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(76,361 )</w:t>
            </w:r>
          </w:p>
        </w:tc>
      </w:tr>
      <w:tr>
        <w:trPr>
          <w:trHeight w:val="19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53,872</w:t>
            </w:r>
          </w:p>
        </w:tc>
        <w:tc>
          <w:tcPr>
            <w:tcW w:w="24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34,444</w:t>
            </w: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147,065</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91,502</w:t>
            </w:r>
          </w:p>
        </w:tc>
        <w:tc>
          <w:tcPr>
            <w:tcW w:w="100" w:type="dxa"/>
            <w:vAlign w:val="bottom"/>
            <w:tcBorders>
              <w:top w:val="single" w:sz="8" w:color="CFF0FC"/>
            </w:tcBorders>
          </w:tcPr>
          <w:p>
            <w:pPr>
              <w:spacing w:after="0"/>
              <w:rPr>
                <w:sz w:val="17"/>
                <w:szCs w:val="17"/>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Technology and development expenses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(3,472 )</w:t>
            </w:r>
          </w:p>
        </w:tc>
        <w:tc>
          <w:tcPr>
            <w:tcW w:w="1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(1,255 )</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(9,444 )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(3,424 )</w:t>
            </w: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(11,483 )</w:t>
            </w:r>
          </w:p>
        </w:tc>
        <w:tc>
          <w:tcPr>
            <w:tcW w:w="1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(10,887 )</w:t>
            </w:r>
          </w:p>
        </w:tc>
        <w:tc>
          <w:tcPr>
            <w:tcW w:w="1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(30,872 )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(30,080 )</w:t>
            </w: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gain/(loss) on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operating (loss)/gain</w:t>
            </w: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(706 )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shd w:val="clear" w:color="auto" w:fill="CFF0FC"/>
          </w:tcPr>
          <w:p>
            <w:pPr>
              <w:spacing w:after="0"/>
              <w:rPr>
                <w:sz w:val="17"/>
                <w:szCs w:val="17"/>
                <w:color w:val="auto"/>
              </w:rPr>
            </w:pPr>
          </w:p>
        </w:tc>
      </w:tr>
      <w:tr>
        <w:trPr>
          <w:trHeight w:val="196"/>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37,231</w:t>
            </w:r>
          </w:p>
        </w:tc>
        <w:tc>
          <w:tcPr>
            <w:tcW w:w="24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21,569</w:t>
            </w: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101,408</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59,272</w:t>
            </w:r>
          </w:p>
        </w:tc>
        <w:tc>
          <w:tcPr>
            <w:tcW w:w="100" w:type="dxa"/>
            <w:vAlign w:val="bottom"/>
            <w:tcBorders>
              <w:top w:val="single" w:sz="8" w:color="CFF0FC"/>
            </w:tcBorders>
          </w:tcPr>
          <w:p>
            <w:pPr>
              <w:spacing w:after="0"/>
              <w:rPr>
                <w:sz w:val="17"/>
                <w:szCs w:val="17"/>
                <w:color w:val="auto"/>
              </w:rPr>
            </w:pPr>
          </w:p>
        </w:tc>
      </w:tr>
      <w:tr>
        <w:trPr>
          <w:trHeight w:val="19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costs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(9,289 )</w:t>
            </w:r>
          </w:p>
        </w:tc>
        <w:tc>
          <w:tcPr>
            <w:tcW w:w="1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(275 )</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(15,865 )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(511 )</w:t>
            </w: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Inflation adjustment</w:t>
            </w: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(127 )</w:t>
            </w:r>
          </w:p>
        </w:tc>
        <w:tc>
          <w:tcPr>
            <w:tcW w:w="1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(156 )</w:t>
            </w:r>
          </w:p>
        </w:tc>
        <w:tc>
          <w:tcPr>
            <w:tcW w:w="1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(905 )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0"/>
        </w:trPr>
        <w:tc>
          <w:tcPr>
            <w:tcW w:w="57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results</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(2,606 )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658</w:t>
            </w:r>
          </w:p>
        </w:tc>
        <w:tc>
          <w:tcPr>
            <w:tcW w:w="220" w:type="dxa"/>
            <w:vAlign w:val="bottom"/>
          </w:tcPr>
          <w:p>
            <w:pPr>
              <w:spacing w:after="0"/>
              <w:rPr>
                <w:sz w:val="17"/>
                <w:szCs w:val="17"/>
                <w:color w:val="auto"/>
              </w:rPr>
            </w:pP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(4,424 )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10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34,625</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22,227</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96,984</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59,837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(2,287 )</w:t>
            </w:r>
          </w:p>
        </w:tc>
        <w:tc>
          <w:tcPr>
            <w:tcW w:w="1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(2,558 )</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(7,651 )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(5,533 )</w:t>
            </w:r>
          </w:p>
        </w:tc>
      </w:tr>
      <w:tr>
        <w:trPr>
          <w:trHeight w:val="19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32,338</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89,333</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Profit attributable to:</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 of the Group</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32,462</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89,326</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54,291</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32,338</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89,333</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Exchange difference on translation on foreign operations</w:t>
            </w:r>
          </w:p>
        </w:tc>
        <w:tc>
          <w:tcPr>
            <w:tcW w:w="14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(405 )</w:t>
            </w:r>
          </w:p>
        </w:tc>
        <w:tc>
          <w:tcPr>
            <w:tcW w:w="14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(391 )</w:t>
            </w:r>
          </w:p>
        </w:tc>
        <w:tc>
          <w:tcPr>
            <w:tcW w:w="1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(488 )</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FF0FC"/>
          </w:tcPr>
          <w:p>
            <w:pPr>
              <w:spacing w:after="0"/>
              <w:rPr>
                <w:sz w:val="17"/>
                <w:szCs w:val="17"/>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 net of tax</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(405 )</w:t>
            </w:r>
          </w:p>
        </w:tc>
        <w:tc>
          <w:tcPr>
            <w:tcW w:w="1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(391 )</w:t>
            </w:r>
          </w:p>
        </w:tc>
        <w:tc>
          <w:tcPr>
            <w:tcW w:w="1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(488 )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10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31,933</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19,278</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88,845</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54,781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 is attributable to:</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 of the Group</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32,057</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88,838</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54,759</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31,933</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19,278</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88,845</w:t>
            </w:r>
          </w:p>
        </w:tc>
        <w:tc>
          <w:tcPr>
            <w:tcW w:w="2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54,781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527"/>
        </w:trPr>
        <w:tc>
          <w:tcPr>
            <w:tcW w:w="57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-4345305</wp:posOffset>
            </wp:positionV>
            <wp:extent cx="7747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-4345305</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-4345305</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-3556635</wp:posOffset>
            </wp:positionV>
            <wp:extent cx="7747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-3556635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-3556635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-3025140</wp:posOffset>
            </wp:positionV>
            <wp:extent cx="7747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-3025140</wp:posOffset>
            </wp:positionV>
            <wp:extent cx="6858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-3025140</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-2750820</wp:posOffset>
            </wp:positionV>
            <wp:extent cx="7747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-2750820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-2750820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-2476500</wp:posOffset>
            </wp:positionV>
            <wp:extent cx="774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-2476500</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-2476500</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-1945640</wp:posOffset>
            </wp:positionV>
            <wp:extent cx="774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-1945640</wp:posOffset>
            </wp:positionV>
            <wp:extent cx="685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-1945640</wp:posOffset>
            </wp:positionV>
            <wp:extent cx="6858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-1165225</wp:posOffset>
            </wp:positionV>
            <wp:extent cx="7747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-1165225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-1165225</wp:posOffset>
            </wp:positionV>
            <wp:extent cx="6858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-890905</wp:posOffset>
            </wp:positionV>
            <wp:extent cx="7747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-890905</wp:posOffset>
            </wp:positionV>
            <wp:extent cx="68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-890905</wp:posOffset>
            </wp:positionV>
            <wp:extent cx="6858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-359410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-359410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DLocal Limited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interim financial information</w:t>
      </w:r>
    </w:p>
    <w:p>
      <w:pPr>
        <w:spacing w:after="0" w:line="31" w:lineRule="exact"/>
        <w:rPr>
          <w:sz w:val="20"/>
          <w:szCs w:val="20"/>
          <w:color w:val="auto"/>
        </w:rPr>
      </w:pPr>
    </w:p>
    <w:p>
      <w:pPr>
        <w:ind w:right="2400"/>
        <w:spacing w:after="0" w:line="273" w:lineRule="auto"/>
        <w:rPr>
          <w:sz w:val="20"/>
          <w:szCs w:val="20"/>
          <w:color w:val="auto"/>
        </w:rPr>
      </w:pPr>
      <w:r>
        <w:rPr>
          <w:rFonts w:ascii="Times New Roman" w:cs="Times New Roman" w:eastAsia="Times New Roman" w:hAnsi="Times New Roman"/>
          <w:sz w:val="18"/>
          <w:szCs w:val="18"/>
          <w:b w:val="1"/>
          <w:bCs w:val="1"/>
          <w:color w:val="auto"/>
        </w:rPr>
        <w:t>Consolidated Condensed Interim Statements of Financial Position a</w:t>
      </w:r>
      <w:r>
        <w:rPr>
          <w:rFonts w:ascii="Times New Roman" w:cs="Times New Roman" w:eastAsia="Times New Roman" w:hAnsi="Times New Roman"/>
          <w:sz w:val="18"/>
          <w:szCs w:val="18"/>
          <w:b w:val="1"/>
          <w:bCs w:val="1"/>
          <w:color w:val="231F20"/>
        </w:rPr>
        <w:t>s of September 30, 2022 and December 31, 2021</w:t>
      </w:r>
      <w:r>
        <w:rPr>
          <w:rFonts w:ascii="Times New Roman" w:cs="Times New Roman" w:eastAsia="Times New Roman" w:hAnsi="Times New Roman"/>
          <w:sz w:val="18"/>
          <w:szCs w:val="18"/>
          <w:b w:val="1"/>
          <w:bCs w:val="1"/>
          <w:color w:val="auto"/>
        </w:rPr>
        <w:t xml:space="preserve"> (In thousands of U.S. dollars, except per share amounts,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7"/>
                <w:szCs w:val="17"/>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542,298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336,197</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228,895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190,966</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776,852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529,506</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6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49,875</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46,969</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57,728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53,502</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834,580</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583,008</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423,606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277,160</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liabilities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13,126</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452,884</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298,398</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3,952</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4,309</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456,836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302,707</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165,318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157,151</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Reserve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200,460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109,867</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owners of the Group</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377,755</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280,319</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377,744</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280,301</w:t>
            </w:r>
          </w:p>
        </w:tc>
      </w:tr>
      <w:tr>
        <w:trPr>
          <w:trHeight w:val="527"/>
        </w:trPr>
        <w:tc>
          <w:tcPr>
            <w:tcW w:w="7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-4585335</wp:posOffset>
            </wp:positionV>
            <wp:extent cx="11112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-3796665</wp:posOffset>
            </wp:positionV>
            <wp:extent cx="11112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-3522345</wp:posOffset>
            </wp:positionV>
            <wp:extent cx="11112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-2219325</wp:posOffset>
            </wp:positionV>
            <wp:extent cx="1111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-1687830</wp:posOffset>
            </wp:positionV>
            <wp:extent cx="11112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-633730</wp:posOffset>
            </wp:positionV>
            <wp:extent cx="11112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-359410</wp:posOffset>
            </wp:positionV>
            <wp:extent cx="111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dLocal was incorporated on February 10, 2021, as a Cayman Islands exempted company with limited liability, duly registered with the Cayman Islands Registrar of</w:t>
      </w:r>
    </w:p>
    <w:p>
      <w:pPr>
        <w:spacing w:after="0" w:line="2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i w:val="1"/>
          <w:iCs w:val="1"/>
          <w:color w:val="auto"/>
        </w:rPr>
        <w:t>Companies. The contribution of dLocal Group Limited (a limited liability company incorporated in Malta, the former holding entity or “dLocal Malta”) shares to dLocal has been finalized as of April 14, 2021. Until the contribution of dLocal Malta shares to it, dLocal had not commenced operations, consequently the historical information previous to that date presented in here corresponds to dLocal Malta, our predecessor. This reorganization was done, among other things, to facilitate the initial public offering of the Group. dLocal had no prior assets, holdings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6"/>
          <w:szCs w:val="16"/>
          <w:u w:val="single" w:color="auto"/>
          <w:color w:val="auto"/>
        </w:rPr>
        <w:t>investor@dlocal.com</w:t>
      </w:r>
    </w:p>
    <w:p>
      <w:pPr>
        <w:spacing w:after="0" w:line="174"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12"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6"/>
          <w:szCs w:val="16"/>
          <w:u w:val="single" w:color="auto"/>
          <w:color w:val="auto"/>
        </w:rPr>
        <w:t>marketing@dlocal.com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sectPr>
      </w:pPr>
    </w:p>
    <w:bookmarkStart w:id="12" w:name="page13"/>
    <w:bookmarkEnd w:id="12"/>
    <w:p>
      <w:pPr>
        <w:jc w:val="right"/>
        <w:spacing w:after="0"/>
        <w:rPr>
          <w:sz w:val="20"/>
          <w:szCs w:val="20"/>
          <w:color w:val="auto"/>
        </w:rPr>
      </w:pPr>
      <w:r>
        <w:rPr>
          <w:rFonts w:ascii="Calibri" w:cs="Calibri" w:eastAsia="Calibri" w:hAnsi="Calibri"/>
          <w:sz w:val="13"/>
          <w:szCs w:val="13"/>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DLocal Limited</w:t>
      </w:r>
    </w:p>
    <w:p>
      <w:pPr>
        <w:spacing w:after="0" w:line="2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9"/>
          <w:szCs w:val="29"/>
          <w:b w:val="1"/>
          <w:bCs w:val="1"/>
          <w:color w:val="auto"/>
        </w:rPr>
        <w:t>Unaudited Consolidated Condensed Interim Financial Statements as of September 30, 2022 and for the nine-month and three-month periods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31F20"/>
        </w:rPr>
        <w:t>DLocal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Consolidated Condensed Interim Statements of Comprehensive Income</w:t>
      </w:r>
    </w:p>
    <w:p>
      <w:pPr>
        <w:spacing w:after="0" w:line="9" w:lineRule="exact"/>
        <w:rPr>
          <w:sz w:val="20"/>
          <w:szCs w:val="20"/>
          <w:color w:val="auto"/>
        </w:rPr>
      </w:pPr>
    </w:p>
    <w:p>
      <w:pPr>
        <w:ind w:right="5020"/>
        <w:spacing w:after="0" w:line="260" w:lineRule="auto"/>
        <w:rPr>
          <w:sz w:val="20"/>
          <w:szCs w:val="20"/>
          <w:color w:val="auto"/>
        </w:rPr>
      </w:pPr>
      <w:r>
        <w:rPr>
          <w:rFonts w:ascii="Times New Roman" w:cs="Times New Roman" w:eastAsia="Times New Roman" w:hAnsi="Times New Roman"/>
          <w:sz w:val="18"/>
          <w:szCs w:val="18"/>
          <w:color w:val="231F20"/>
        </w:rPr>
        <w:t>For the nine-month and three-month periods ended September 30, 2022 and 2021 (All amounts in thousands of U.S. Dollars except share data or as otherwise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3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64"/>
        </w:trPr>
        <w:tc>
          <w:tcPr>
            <w:tcW w:w="5320" w:type="dxa"/>
            <w:vAlign w:val="bottom"/>
          </w:tcPr>
          <w:p>
            <w:pPr>
              <w:spacing w:after="0"/>
              <w:rPr>
                <w:sz w:val="14"/>
                <w:szCs w:val="14"/>
                <w:color w:val="auto"/>
              </w:rPr>
            </w:pP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4"/>
                <w:szCs w:val="14"/>
                <w:color w:val="auto"/>
              </w:rPr>
            </w:pPr>
          </w:p>
        </w:tc>
        <w:tc>
          <w:tcPr>
            <w:tcW w:w="1200" w:type="dxa"/>
            <w:vAlign w:val="bottom"/>
            <w:gridSpan w:val="2"/>
          </w:tcPr>
          <w:p>
            <w:pPr>
              <w:jc w:val="right"/>
              <w:ind w:right="279"/>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200" w:type="dxa"/>
            <w:vAlign w:val="bottom"/>
            <w:gridSpan w:val="2"/>
          </w:tcPr>
          <w:p>
            <w:pPr>
              <w:jc w:val="right"/>
              <w:ind w:right="279"/>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160" w:type="dxa"/>
            <w:vAlign w:val="bottom"/>
            <w:gridSpan w:val="2"/>
          </w:tcPr>
          <w:p>
            <w:pPr>
              <w:jc w:val="right"/>
              <w:ind w:right="259"/>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140" w:type="dxa"/>
            <w:vAlign w:val="bottom"/>
            <w:gridSpan w:val="2"/>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2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2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2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300,497</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167,863</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(153,432 )</w:t>
            </w:r>
          </w:p>
        </w:tc>
        <w:tc>
          <w:tcPr>
            <w:tcW w:w="1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(76,361 )</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(57,992 )</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(34,202 )</w:t>
            </w:r>
          </w:p>
        </w:tc>
        <w:tc>
          <w:tcPr>
            <w:tcW w:w="0" w:type="dxa"/>
            <w:vAlign w:val="bottom"/>
          </w:tcPr>
          <w:p>
            <w:pPr>
              <w:spacing w:after="0"/>
              <w:rPr>
                <w:sz w:val="1"/>
                <w:szCs w:val="1"/>
                <w:color w:val="auto"/>
              </w:rPr>
            </w:pPr>
          </w:p>
        </w:tc>
      </w:tr>
      <w:tr>
        <w:trPr>
          <w:trHeight w:val="196"/>
        </w:trPr>
        <w:tc>
          <w:tcPr>
            <w:tcW w:w="5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147,065</w:t>
            </w: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91,502</w:t>
            </w: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53,872</w:t>
            </w:r>
          </w:p>
        </w:tc>
        <w:tc>
          <w:tcPr>
            <w:tcW w:w="220" w:type="dxa"/>
            <w:vAlign w:val="bottom"/>
            <w:tcBorders>
              <w:top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34,444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Technology and development expenses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2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3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(9,444 )</w:t>
            </w:r>
          </w:p>
        </w:tc>
        <w:tc>
          <w:tcPr>
            <w:tcW w:w="1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(3,424 )</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(3,472 )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(1,255 )</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32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(30,872 )</w:t>
            </w:r>
          </w:p>
        </w:tc>
        <w:tc>
          <w:tcPr>
            <w:tcW w:w="1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(30,080 )</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(11,483 )</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(10,887 )</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gain/(loss) on financial assets</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tcPr>
          <w:p>
            <w:pPr>
              <w:spacing w:after="0"/>
              <w:rPr>
                <w:sz w:val="17"/>
                <w:szCs w:val="17"/>
                <w:color w:val="auto"/>
              </w:rPr>
            </w:pPr>
          </w:p>
        </w:tc>
        <w:tc>
          <w:tcPr>
            <w:tcW w:w="1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operating (loss)/gain</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(706 )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(18 )</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1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101,408</w:t>
            </w: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59,272</w:t>
            </w:r>
          </w:p>
        </w:tc>
        <w:tc>
          <w:tcPr>
            <w:tcW w:w="22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37,231</w:t>
            </w:r>
          </w:p>
        </w:tc>
        <w:tc>
          <w:tcPr>
            <w:tcW w:w="220" w:type="dxa"/>
            <w:vAlign w:val="bottom"/>
            <w:tcBorders>
              <w:top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21,569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costs</w:t>
            </w:r>
          </w:p>
        </w:tc>
        <w:tc>
          <w:tcPr>
            <w:tcW w:w="1100" w:type="dxa"/>
            <w:vAlign w:val="bottom"/>
          </w:tcPr>
          <w:p>
            <w:pPr>
              <w:spacing w:after="0"/>
              <w:rPr>
                <w:sz w:val="17"/>
                <w:szCs w:val="17"/>
                <w:color w:val="auto"/>
              </w:rPr>
            </w:pPr>
          </w:p>
        </w:tc>
        <w:tc>
          <w:tcPr>
            <w:tcW w:w="13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(15,865 )</w:t>
            </w:r>
          </w:p>
        </w:tc>
        <w:tc>
          <w:tcPr>
            <w:tcW w:w="1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(511 )</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(9,289 )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Inflation adjustment</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(905 )</w:t>
            </w:r>
          </w:p>
        </w:tc>
        <w:tc>
          <w:tcPr>
            <w:tcW w:w="1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(197 )</w:t>
            </w: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(127 )</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results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(4,424 )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(2,606 )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96,984</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59,837</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34,625</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22,227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7"/>
              </w:rPr>
              <w:t>11</w:t>
            </w:r>
          </w:p>
        </w:tc>
        <w:tc>
          <w:tcPr>
            <w:tcW w:w="13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(7,651 )</w:t>
            </w:r>
          </w:p>
        </w:tc>
        <w:tc>
          <w:tcPr>
            <w:tcW w:w="12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(5,533 )</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(2,287 )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(2,558 )</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89,333</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54,304</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32,338</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Profit attributable to:</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 of the Group</w:t>
            </w:r>
          </w:p>
        </w:tc>
        <w:tc>
          <w:tcPr>
            <w:tcW w:w="1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89,326</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54,291</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32,462</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89,333</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54,304</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32,338</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Items that may be reclassified to profit or loss: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Exchange difference on translation on foreign operations</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(488 )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(405 )</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for the period, net of tax</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(488 )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(391 )</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88,845</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54,781</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31,933</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 is attributable to:</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Owners of the Group</w:t>
            </w:r>
          </w:p>
        </w:tc>
        <w:tc>
          <w:tcPr>
            <w:tcW w:w="1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54,759</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32,057</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7"/>
                <w:szCs w:val="17"/>
                <w:color w:val="auto"/>
              </w:rPr>
            </w:pP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for the period</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88,845</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54,781</w:t>
            </w:r>
          </w:p>
        </w:tc>
        <w:tc>
          <w:tcPr>
            <w:tcW w:w="2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31,933</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-3994150</wp:posOffset>
            </wp:positionV>
            <wp:extent cx="7683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-3994150</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-3994150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-3205480</wp:posOffset>
            </wp:positionV>
            <wp:extent cx="76835"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-3205480</wp:posOffset>
            </wp:positionV>
            <wp:extent cx="6858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-3205480</wp:posOffset>
            </wp:positionV>
            <wp:extent cx="6858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-2673985</wp:posOffset>
            </wp:positionV>
            <wp:extent cx="7683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-2673985</wp:posOffset>
            </wp:positionV>
            <wp:extent cx="6858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-2673985</wp:posOffset>
            </wp:positionV>
            <wp:extent cx="6858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-2399665</wp:posOffset>
            </wp:positionV>
            <wp:extent cx="7683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-2399665</wp:posOffset>
            </wp:positionV>
            <wp:extent cx="6858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-2399665</wp:posOffset>
            </wp:positionV>
            <wp:extent cx="6858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-2125345</wp:posOffset>
            </wp:positionV>
            <wp:extent cx="7683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-2125345</wp:posOffset>
            </wp:positionV>
            <wp:extent cx="6858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-2125345</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-1593850</wp:posOffset>
            </wp:positionV>
            <wp:extent cx="7683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-1593850</wp:posOffset>
            </wp:positionV>
            <wp:extent cx="6858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-1593850</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-814070</wp:posOffset>
            </wp:positionV>
            <wp:extent cx="7683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-814070</wp:posOffset>
            </wp:positionV>
            <wp:extent cx="6858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-814070</wp:posOffset>
            </wp:positionV>
            <wp:extent cx="6858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-539750</wp:posOffset>
            </wp:positionV>
            <wp:extent cx="7683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-539750</wp:posOffset>
            </wp:positionV>
            <wp:extent cx="6858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-539750</wp:posOffset>
            </wp:positionV>
            <wp:extent cx="6858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Condensed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31F20"/>
        </w:rPr>
        <w:t>DLocal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Consolidated Condensed Interim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September 30, 2022 and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(All amounts in thousands of U.S. Dollars except share data or as otherwise indicated)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13</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542,298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336,197</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14</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228,895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190,966</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15</w:t>
            </w: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776,852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529,506</w:t>
            </w:r>
          </w:p>
        </w:tc>
      </w:tr>
      <w:tr>
        <w:trPr>
          <w:trHeight w:val="19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1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2,485</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03"/>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16</w:t>
            </w: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49,875</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46,969</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57,728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53,502</w:t>
            </w:r>
          </w:p>
        </w:tc>
      </w:tr>
      <w:tr>
        <w:trPr>
          <w:trHeight w:val="19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834,580</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583,008</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423,606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277,160</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liabilities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19</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13,126</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21</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19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452,884</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298,398</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20" w:type="dxa"/>
            <w:vAlign w:val="bottom"/>
            <w:shd w:val="clear" w:color="auto" w:fill="CFF0FC"/>
          </w:tcPr>
          <w:p>
            <w:pPr>
              <w:spacing w:after="0"/>
              <w:rPr>
                <w:sz w:val="17"/>
                <w:szCs w:val="17"/>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2"/>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19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3,952</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4,309</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456,836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302,707</w:t>
            </w:r>
          </w:p>
        </w:tc>
      </w:tr>
      <w:tr>
        <w:trPr>
          <w:trHeight w:val="19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spacing w:after="0"/>
              <w:rPr>
                <w:sz w:val="17"/>
                <w:szCs w:val="17"/>
                <w:color w:val="auto"/>
              </w:rPr>
            </w:pP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2"/>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Premium</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165,318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157,151</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Reserve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03"/>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Reserves</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200,460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109,867</w:t>
            </w:r>
          </w:p>
        </w:tc>
      </w:tr>
      <w:tr>
        <w:trPr>
          <w:trHeight w:val="19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 Attributable to owners of the Group</w:t>
            </w: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377,755</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280,319</w:t>
            </w:r>
          </w:p>
        </w:tc>
      </w:tr>
      <w:tr>
        <w:trPr>
          <w:trHeight w:val="196"/>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12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377,744</w:t>
            </w: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-4234180</wp:posOffset>
            </wp:positionV>
            <wp:extent cx="6858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-3445510</wp:posOffset>
            </wp:positionV>
            <wp:extent cx="6858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-3171190</wp:posOffset>
            </wp:positionV>
            <wp:extent cx="6858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-1868170</wp:posOffset>
            </wp:positionV>
            <wp:extent cx="6858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-1336675</wp:posOffset>
            </wp:positionV>
            <wp:extent cx="6858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-281940</wp:posOffset>
            </wp:positionV>
            <wp:extent cx="6858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Condensed Interim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DLocal Limited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Condensed Interim Statements of Changes in Equity</w:t>
      </w:r>
    </w:p>
    <w:p>
      <w:pPr>
        <w:spacing w:after="0" w:line="234" w:lineRule="auto"/>
        <w:rPr>
          <w:sz w:val="20"/>
          <w:szCs w:val="20"/>
          <w:color w:val="auto"/>
        </w:rPr>
      </w:pPr>
      <w:r>
        <w:rPr>
          <w:rFonts w:ascii="Times New Roman" w:cs="Times New Roman" w:eastAsia="Times New Roman" w:hAnsi="Times New Roman"/>
          <w:sz w:val="18"/>
          <w:szCs w:val="18"/>
          <w:color w:val="auto"/>
        </w:rPr>
        <w:t xml:space="preserve">For the nine-month periods ended </w:t>
      </w:r>
      <w:r>
        <w:rPr>
          <w:rFonts w:ascii="Times New Roman" w:cs="Times New Roman" w:eastAsia="Times New Roman" w:hAnsi="Times New Roman"/>
          <w:sz w:val="18"/>
          <w:szCs w:val="18"/>
          <w:color w:val="231F20"/>
        </w:rPr>
        <w:t>September 30, 2022 and 2021</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amounts in thousands of U.S. Dollars except share data or as otherwise indicated)</w:t>
      </w: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72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720" w:type="dxa"/>
            <w:vAlign w:val="bottom"/>
          </w:tcPr>
          <w:p>
            <w:pPr>
              <w:jc w:val="right"/>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74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740" w:type="dxa"/>
            <w:vAlign w:val="bottom"/>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3"/>
                <w:szCs w:val="13"/>
                <w:color w:val="auto"/>
              </w:rPr>
            </w:pPr>
          </w:p>
        </w:tc>
        <w:tc>
          <w:tcPr>
            <w:tcW w:w="76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1st, 2022</w:t>
            </w:r>
          </w:p>
        </w:tc>
        <w:tc>
          <w:tcPr>
            <w:tcW w:w="9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590</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157,151</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12,741</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109,867</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280,319</w:t>
            </w: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280,301</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for the period</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Profit of the period</w:t>
            </w:r>
          </w:p>
        </w:tc>
        <w:tc>
          <w:tcPr>
            <w:tcW w:w="9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89,326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89,326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89,333</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Exchange difference on translation on foreign</w:t>
            </w:r>
          </w:p>
        </w:tc>
        <w:tc>
          <w:tcPr>
            <w:tcW w:w="9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for the period</w:t>
            </w:r>
          </w:p>
        </w:tc>
        <w:tc>
          <w:tcPr>
            <w:tcW w:w="9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(1,755)</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90,593</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88,838</w:t>
            </w: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88,845</w:t>
            </w:r>
          </w:p>
        </w:tc>
        <w:tc>
          <w:tcPr>
            <w:tcW w:w="0" w:type="dxa"/>
            <w:vAlign w:val="bottom"/>
          </w:tcPr>
          <w:p>
            <w:pPr>
              <w:spacing w:after="0"/>
              <w:rPr>
                <w:sz w:val="1"/>
                <w:szCs w:val="1"/>
                <w:color w:val="auto"/>
              </w:rPr>
            </w:pPr>
          </w:p>
        </w:tc>
      </w:tr>
      <w:tr>
        <w:trPr>
          <w:trHeight w:val="131"/>
        </w:trPr>
        <w:tc>
          <w:tcPr>
            <w:tcW w:w="3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Transactions with Group owners in their</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capacity as owners</w:t>
            </w: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Share-options exercise</w:t>
            </w:r>
          </w:p>
        </w:tc>
        <w:tc>
          <w:tcPr>
            <w:tcW w:w="940" w:type="dxa"/>
            <w:vAlign w:val="bottom"/>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(4,445)</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76"/>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5,594</w:t>
            </w:r>
          </w:p>
        </w:tc>
        <w:tc>
          <w:tcPr>
            <w:tcW w:w="0" w:type="dxa"/>
            <w:vAlign w:val="bottom"/>
          </w:tcPr>
          <w:p>
            <w:pPr>
              <w:spacing w:after="0"/>
              <w:rPr>
                <w:sz w:val="1"/>
                <w:szCs w:val="1"/>
                <w:color w:val="auto"/>
              </w:rPr>
            </w:pPr>
          </w:p>
        </w:tc>
      </w:tr>
      <w:tr>
        <w:trPr>
          <w:trHeight w:val="131"/>
        </w:trPr>
        <w:tc>
          <w:tcPr>
            <w:tcW w:w="346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Transactions with Group owners in their</w:t>
            </w:r>
          </w:p>
        </w:tc>
        <w:tc>
          <w:tcPr>
            <w:tcW w:w="9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8,167</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429</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8,598</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8,598</w:t>
            </w:r>
          </w:p>
        </w:tc>
        <w:tc>
          <w:tcPr>
            <w:tcW w:w="0" w:type="dxa"/>
            <w:vAlign w:val="bottom"/>
          </w:tcPr>
          <w:p>
            <w:pPr>
              <w:spacing w:after="0"/>
              <w:rPr>
                <w:sz w:val="1"/>
                <w:szCs w:val="1"/>
                <w:color w:val="auto"/>
              </w:rPr>
            </w:pPr>
          </w:p>
        </w:tc>
      </w:tr>
      <w:tr>
        <w:trPr>
          <w:trHeight w:val="17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capacity as owners</w:t>
            </w:r>
          </w:p>
        </w:tc>
        <w:tc>
          <w:tcPr>
            <w:tcW w:w="9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9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592</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165,318</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13,170</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(1,785)</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200,460</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377,755</w:t>
            </w: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377,744</w:t>
            </w: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1st, 2021</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602</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12,582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31,749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45,052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45,048</w:t>
            </w:r>
          </w:p>
        </w:tc>
        <w:tc>
          <w:tcPr>
            <w:tcW w:w="0" w:type="dxa"/>
            <w:vAlign w:val="bottom"/>
          </w:tcPr>
          <w:p>
            <w:pPr>
              <w:spacing w:after="0"/>
              <w:rPr>
                <w:sz w:val="1"/>
                <w:szCs w:val="1"/>
                <w:color w:val="auto"/>
              </w:rPr>
            </w:pPr>
          </w:p>
        </w:tc>
      </w:tr>
      <w:tr>
        <w:trPr>
          <w:trHeight w:val="169"/>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for the period</w:t>
            </w:r>
          </w:p>
        </w:tc>
        <w:tc>
          <w:tcPr>
            <w:tcW w:w="9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 of the period</w:t>
            </w:r>
          </w:p>
        </w:tc>
        <w:tc>
          <w:tcPr>
            <w:tcW w:w="9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54,291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54,291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54,304</w:t>
            </w: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Exchange difference on translation on foreign</w:t>
            </w:r>
          </w:p>
        </w:tc>
        <w:tc>
          <w:tcPr>
            <w:tcW w:w="94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vMerge w:val="restart"/>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vMerge w:val="restart"/>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operations</w:t>
            </w:r>
          </w:p>
        </w:tc>
        <w:tc>
          <w:tcPr>
            <w:tcW w:w="9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for the period</w:t>
            </w:r>
          </w:p>
        </w:tc>
        <w:tc>
          <w:tcPr>
            <w:tcW w:w="9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54,455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54,759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54,781</w:t>
            </w:r>
          </w:p>
        </w:tc>
        <w:tc>
          <w:tcPr>
            <w:tcW w:w="0" w:type="dxa"/>
            <w:vAlign w:val="bottom"/>
          </w:tcPr>
          <w:p>
            <w:pPr>
              <w:spacing w:after="0"/>
              <w:rPr>
                <w:sz w:val="1"/>
                <w:szCs w:val="1"/>
                <w:color w:val="auto"/>
              </w:rPr>
            </w:pPr>
          </w:p>
        </w:tc>
      </w:tr>
      <w:tr>
        <w:trPr>
          <w:trHeight w:val="131"/>
        </w:trPr>
        <w:tc>
          <w:tcPr>
            <w:tcW w:w="34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Transactions with Group owners in their</w:t>
            </w:r>
          </w:p>
        </w:tc>
        <w:tc>
          <w:tcPr>
            <w:tcW w:w="94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capacity as owners</w:t>
            </w:r>
          </w:p>
        </w:tc>
        <w:tc>
          <w:tcPr>
            <w:tcW w:w="9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Initial public offering, net of underwriting discount and</w:t>
            </w:r>
          </w:p>
        </w:tc>
        <w:tc>
          <w:tcPr>
            <w:tcW w:w="9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86,441</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86,450</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86,450</w:t>
            </w: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incremental and direct costs</w:t>
            </w:r>
          </w:p>
        </w:tc>
        <w:tc>
          <w:tcPr>
            <w:tcW w:w="9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Issue of ordinary shares</w:t>
            </w:r>
          </w:p>
        </w:tc>
        <w:tc>
          <w:tcPr>
            <w:tcW w:w="940" w:type="dxa"/>
            <w:vAlign w:val="bottom"/>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63,132</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63,177</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63,177</w:t>
            </w:r>
          </w:p>
        </w:tc>
        <w:tc>
          <w:tcPr>
            <w:tcW w:w="0" w:type="dxa"/>
            <w:vAlign w:val="bottom"/>
          </w:tcPr>
          <w:p>
            <w:pPr>
              <w:spacing w:after="0"/>
              <w:rPr>
                <w:sz w:val="1"/>
                <w:szCs w:val="1"/>
                <w:color w:val="auto"/>
              </w:rPr>
            </w:pPr>
          </w:p>
        </w:tc>
      </w:tr>
      <w:tr>
        <w:trPr>
          <w:trHeight w:val="139"/>
        </w:trPr>
        <w:tc>
          <w:tcPr>
            <w:tcW w:w="34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Par value change from 1.1211 U.S. Dollars to 1 U.S.</w:t>
            </w:r>
          </w:p>
        </w:tc>
        <w:tc>
          <w:tcPr>
            <w:tcW w:w="9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w:t>
            </w:r>
          </w:p>
        </w:tc>
        <w:tc>
          <w:tcPr>
            <w:tcW w:w="9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Share-options exercise</w:t>
            </w:r>
          </w:p>
        </w:tc>
        <w:tc>
          <w:tcPr>
            <w:tcW w:w="940" w:type="dxa"/>
            <w:vAlign w:val="bottom"/>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payments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940" w:type="dxa"/>
            <w:vAlign w:val="bottom"/>
            <w:shd w:val="clear" w:color="auto" w:fill="CFF0FC"/>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exercise</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34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Transactions with Group owners in their</w:t>
            </w:r>
          </w:p>
        </w:tc>
        <w:tc>
          <w:tcPr>
            <w:tcW w:w="94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vMerge w:val="restart"/>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157,151</w:t>
            </w:r>
          </w:p>
        </w:tc>
        <w:tc>
          <w:tcPr>
            <w:tcW w:w="120" w:type="dxa"/>
            <w:vAlign w:val="bottom"/>
            <w:vMerge w:val="restart"/>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(2,077)</w:t>
            </w:r>
          </w:p>
        </w:tc>
        <w:tc>
          <w:tcPr>
            <w:tcW w:w="1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155,062</w:t>
            </w: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155,062</w:t>
            </w:r>
          </w:p>
        </w:tc>
        <w:tc>
          <w:tcPr>
            <w:tcW w:w="0" w:type="dxa"/>
            <w:vAlign w:val="bottom"/>
          </w:tcPr>
          <w:p>
            <w:pPr>
              <w:spacing w:after="0"/>
              <w:rPr>
                <w:sz w:val="1"/>
                <w:szCs w:val="1"/>
                <w:color w:val="auto"/>
              </w:rPr>
            </w:pPr>
          </w:p>
        </w:tc>
      </w:tr>
      <w:tr>
        <w:trPr>
          <w:trHeight w:val="173"/>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capacity as owners</w:t>
            </w:r>
          </w:p>
        </w:tc>
        <w:tc>
          <w:tcPr>
            <w:tcW w:w="9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vMerge w:val="continue"/>
            <w:shd w:val="clear" w:color="auto" w:fill="CFF0FC"/>
          </w:tcPr>
          <w:p>
            <w:pPr>
              <w:spacing w:after="0"/>
              <w:rPr>
                <w:sz w:val="15"/>
                <w:szCs w:val="15"/>
                <w:color w:val="auto"/>
              </w:rPr>
            </w:pPr>
          </w:p>
        </w:tc>
        <w:tc>
          <w:tcPr>
            <w:tcW w:w="76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tc>
        <w:tc>
          <w:tcPr>
            <w:tcW w:w="9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590</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157,151</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10,505</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86,204</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254,873</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-3608070</wp:posOffset>
            </wp:positionV>
            <wp:extent cx="6858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-3608070</wp:posOffset>
            </wp:positionV>
            <wp:extent cx="6858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-3608070</wp:posOffset>
            </wp:positionV>
            <wp:extent cx="6858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-3608070</wp:posOffset>
            </wp:positionV>
            <wp:extent cx="6858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-3608070</wp:posOffset>
            </wp:positionV>
            <wp:extent cx="6858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-3608070</wp:posOffset>
            </wp:positionV>
            <wp:extent cx="6858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-3608070</wp:posOffset>
            </wp:positionV>
            <wp:extent cx="6858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-3059430</wp:posOffset>
            </wp:positionV>
            <wp:extent cx="6858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-3059430</wp:posOffset>
            </wp:positionV>
            <wp:extent cx="6858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-3059430</wp:posOffset>
            </wp:positionV>
            <wp:extent cx="6858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-3059430</wp:posOffset>
            </wp:positionV>
            <wp:extent cx="68580" cy="214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-3059430</wp:posOffset>
            </wp:positionV>
            <wp:extent cx="6858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-3059430</wp:posOffset>
            </wp:positionV>
            <wp:extent cx="6858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-3059430</wp:posOffset>
            </wp:positionV>
            <wp:extent cx="68580" cy="214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-2510790</wp:posOffset>
            </wp:positionV>
            <wp:extent cx="6858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-2510790</wp:posOffset>
            </wp:positionV>
            <wp:extent cx="6858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-2510790</wp:posOffset>
            </wp:positionV>
            <wp:extent cx="6858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-2510790</wp:posOffset>
            </wp:positionV>
            <wp:extent cx="6858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-2510790</wp:posOffset>
            </wp:positionV>
            <wp:extent cx="6858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-2510790</wp:posOffset>
            </wp:positionV>
            <wp:extent cx="6858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-2510790</wp:posOffset>
            </wp:positionV>
            <wp:extent cx="6858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-2185670</wp:posOffset>
            </wp:positionV>
            <wp:extent cx="6858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-2185670</wp:posOffset>
            </wp:positionV>
            <wp:extent cx="6858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-2185670</wp:posOffset>
            </wp:positionV>
            <wp:extent cx="6858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-2185670</wp:posOffset>
            </wp:positionV>
            <wp:extent cx="6858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-2185670</wp:posOffset>
            </wp:positionV>
            <wp:extent cx="6858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-2185670</wp:posOffset>
            </wp:positionV>
            <wp:extent cx="68580"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-2185670</wp:posOffset>
            </wp:positionV>
            <wp:extent cx="68580"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-1636395</wp:posOffset>
            </wp:positionV>
            <wp:extent cx="6858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-1636395</wp:posOffset>
            </wp:positionV>
            <wp:extent cx="6858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-1636395</wp:posOffset>
            </wp:positionV>
            <wp:extent cx="6858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-1636395</wp:posOffset>
            </wp:positionV>
            <wp:extent cx="6858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-1636395</wp:posOffset>
            </wp:positionV>
            <wp:extent cx="6858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-1636395</wp:posOffset>
            </wp:positionV>
            <wp:extent cx="6858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-128270</wp:posOffset>
            </wp:positionV>
            <wp:extent cx="6858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-128270</wp:posOffset>
            </wp:positionV>
            <wp:extent cx="6858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-128270</wp:posOffset>
            </wp:positionV>
            <wp:extent cx="6858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-128270</wp:posOffset>
            </wp:positionV>
            <wp:extent cx="6858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-128270</wp:posOffset>
            </wp:positionV>
            <wp:extent cx="6858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-128270</wp:posOffset>
            </wp:positionV>
            <wp:extent cx="68580"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-128270</wp:posOffset>
            </wp:positionV>
            <wp:extent cx="68580"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231F20"/>
        </w:rPr>
        <w:t>DLocal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Consolidated Condensed Interim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the nine-month periods ended September 30,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(All amounts in thousands of U.S. Dollars except share data or as otherwise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700" w:type="dxa"/>
            <w:vAlign w:val="bottom"/>
          </w:tcPr>
          <w:p>
            <w:pPr>
              <w:spacing w:after="0"/>
              <w:rPr>
                <w:sz w:val="16"/>
                <w:szCs w:val="16"/>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7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 before income tax</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96,984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59,837</w:t>
            </w:r>
          </w:p>
        </w:tc>
      </w:tr>
      <w:tr>
        <w:trPr>
          <w:trHeight w:val="17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 from financial instruments</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(1,289)</w:t>
            </w: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charges for lease liabilities</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finance expense</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2,594</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Right-of-use asset</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Revenue reduction related to prepaid assets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Share-based payment expense, net of forfeitures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5,354</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exchange differences</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w:t>
            </w: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Fair value loss on financial assets at fair value through profit or loss</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operating loss/(gain)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176"/>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Impairment (gain)/loss on financial assets</w:t>
            </w:r>
          </w:p>
        </w:tc>
        <w:tc>
          <w:tcPr>
            <w:tcW w:w="14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6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9"/>
        </w:trPr>
        <w:tc>
          <w:tcPr>
            <w:tcW w:w="6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100,984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65,459</w:t>
            </w:r>
          </w:p>
        </w:tc>
      </w:tr>
      <w:tr>
        <w:trPr>
          <w:trHeight w:val="17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in Trade and other receivables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(37,873)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(91,964)</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(Increase)/decrease in Other assets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in Trade and other payables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146,446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101,611</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(Decrease)/increase in Tax Liabilities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847</w:t>
            </w:r>
          </w:p>
        </w:tc>
      </w:tr>
      <w:tr>
        <w:trPr>
          <w:trHeight w:val="176"/>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(Decrease)/increase in Provisions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w:t>
            </w:r>
          </w:p>
        </w:tc>
      </w:tr>
      <w:tr>
        <w:trPr>
          <w:trHeight w:val="16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from operating activities</w:t>
            </w: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202,775</w:t>
            </w:r>
          </w:p>
        </w:tc>
        <w:tc>
          <w:tcPr>
            <w:tcW w:w="140" w:type="dxa"/>
            <w:vAlign w:val="bottom"/>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77,115</w:t>
            </w:r>
          </w:p>
        </w:tc>
      </w:tr>
      <w:tr>
        <w:trPr>
          <w:trHeight w:val="17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paid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(7,975)</w:t>
            </w:r>
          </w:p>
        </w:tc>
      </w:tr>
      <w:tr>
        <w:trPr>
          <w:trHeight w:val="169"/>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 operating activities</w:t>
            </w:r>
          </w:p>
        </w:tc>
        <w:tc>
          <w:tcPr>
            <w:tcW w:w="14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195,819</w:t>
            </w:r>
          </w:p>
        </w:tc>
        <w:tc>
          <w:tcPr>
            <w:tcW w:w="14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69,140</w:t>
            </w: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(1,639)</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Additions of Intangible assets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(43,575)</w:t>
            </w: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collections of financial assets at FVPL</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7,237</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collected from financial instruments</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1,289</w:t>
            </w:r>
          </w:p>
        </w:tc>
      </w:tr>
      <w:tr>
        <w:trPr>
          <w:trHeight w:val="175"/>
        </w:trPr>
        <w:tc>
          <w:tcPr>
            <w:tcW w:w="6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14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from/(used in) investing activities</w:t>
            </w:r>
          </w:p>
        </w:tc>
        <w:tc>
          <w:tcPr>
            <w:tcW w:w="14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2,614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(36,688)</w:t>
            </w:r>
          </w:p>
        </w:tc>
      </w:tr>
      <w:tr>
        <w:trPr>
          <w:trHeight w:val="16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63,177</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initial public offering</w:t>
            </w: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87,088</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Initial public offering expenses paid</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transaction between shareholders</w:t>
            </w: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149,411</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in Restricted cash</w:t>
            </w: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(149,411)</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Share-options exercise</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 proceeds</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14,782</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Borrowings repayments</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(5,364)</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payments on lease liability</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76"/>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Principal payments on lease liability</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75"/>
        </w:trPr>
        <w:tc>
          <w:tcPr>
            <w:tcW w:w="6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finance expense paid</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(414)</w:t>
            </w:r>
          </w:p>
        </w:tc>
      </w:tr>
      <w:tr>
        <w:trPr>
          <w:trHeight w:val="169"/>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4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8,524</w:t>
            </w:r>
          </w:p>
        </w:tc>
        <w:tc>
          <w:tcPr>
            <w:tcW w:w="14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148,871</w:t>
            </w: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flow</w:t>
            </w:r>
          </w:p>
        </w:tc>
        <w:tc>
          <w:tcPr>
            <w:tcW w:w="14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206,957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181,323</w:t>
            </w:r>
          </w:p>
        </w:tc>
      </w:tr>
      <w:tr>
        <w:trPr>
          <w:trHeight w:val="17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beginning of the period</w:t>
            </w:r>
          </w:p>
        </w:tc>
        <w:tc>
          <w:tcPr>
            <w:tcW w:w="14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336,197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111,733</w:t>
            </w:r>
          </w:p>
        </w:tc>
      </w:tr>
      <w:tr>
        <w:trPr>
          <w:trHeight w:val="17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14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9"/>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14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542,298</w:t>
            </w:r>
          </w:p>
        </w:tc>
        <w:tc>
          <w:tcPr>
            <w:tcW w:w="14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293,055</w:t>
            </w:r>
          </w:p>
        </w:tc>
      </w:tr>
      <w:tr>
        <w:trPr>
          <w:trHeight w:val="311"/>
        </w:trPr>
        <w:tc>
          <w:tcPr>
            <w:tcW w:w="67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-4088130</wp:posOffset>
            </wp:positionV>
            <wp:extent cx="9398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-2948305</wp:posOffset>
            </wp:positionV>
            <wp:extent cx="9398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-2270760</wp:posOffset>
            </wp:positionV>
            <wp:extent cx="93980"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-685165</wp:posOffset>
            </wp:positionV>
            <wp:extent cx="9398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-222250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Condensed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231F20"/>
        </w:rPr>
        <w:t>DLocal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Notes to the Consolidated Condensed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 September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(All amounts in thousands of U.S. Dollars except share data or as otherwise indicated)</w:t>
      </w:r>
    </w:p>
    <w:p>
      <w:pPr>
        <w:spacing w:after="0" w:line="31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General information </w:t>
      </w:r>
      <w:r>
        <w:rPr>
          <w:rFonts w:ascii="Times New Roman" w:cs="Times New Roman" w:eastAsia="Times New Roman" w:hAnsi="Times New Roman"/>
          <w:sz w:val="18"/>
          <w:szCs w:val="18"/>
          <w:b w:val="1"/>
          <w:bCs w:val="1"/>
          <w:color w:val="000000"/>
        </w:rPr>
        <w:t>and Significant Events during the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information</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231F20"/>
        </w:rPr>
        <w:t>DLocal Limited (“dLocal” or the “Company”) is a holding company, referred to together with its subsidiaries as the “Group”. dLocal is a limited liability company. The Group was established on October 5, 2016, under the holding company dLocal Group Limited, domiciled and incorporated in Malta, and on April 14, 2021 it was reorganized under dLocal, domiciled and incorporated in the Cayman Islands. The Company is the ultimate controlling party of the Group.</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Group processes online payment transactions, enabling enterprise merchants located in developed economies (mainly United States, Europe and China) to get paid (“payins”) from customers in emerging markets and to make payments (“payouts”) to customers in emerging markets. </w:t>
      </w:r>
      <w:r>
        <w:rPr>
          <w:rFonts w:ascii="Times New Roman" w:cs="Times New Roman" w:eastAsia="Times New Roman" w:hAnsi="Times New Roman"/>
          <w:sz w:val="18"/>
          <w:szCs w:val="18"/>
          <w:color w:val="231F20"/>
        </w:rPr>
        <w:t>As of the 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issuance of this Consolidated Condensed Interim Financial Statements, the Group continued to focus on its expansion efforts bringing the total number of countries in the geographic network to 39.</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In order to conduct its business, the Group has direct connections with banks, acquirers and payments processors to process payments locally in emerging markets. It also operates with financial institutions to expatriate/ repatriate the funds to/from the developed economies where the merchant customers elect to settle their funds in the currency of their preference (mainly U.S. Dollar and Euro). These consolidated condensed interim financial statements include dLocal’s subsidiaries and details of the structure are included under Note 4: Consolidation of subsidiaries.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Group is licensed and regulated in the EU as an Electronic Money Issuer, or EMI, and Payment Institution, or PI, and registered as a Money Service Business with the Financial Crimes Enforcement Network of the U.S. Department of the Treasury, or FinCEN, and we operate and are licensed, as applicable, in 39 in emerging markets, primarily in the Americas, Asia and Africa.</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231F20"/>
        </w:rPr>
        <w:t>In addition, the Group is subject to laws aimed at preventing money laundering, corruption and the financing of terrorism. This regulatory landscape is constantly changing, including as a consequence of the implementation of the Fourth Anti-Money Laundering Directive (Directive 2015/849/EU, “MLD4”) and the proposed amendments to the MLD4, often referred to as the fourth Anti-Money Laundering Directive.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Significant events during the period</w:t>
      </w:r>
    </w:p>
    <w:p>
      <w:pPr>
        <w:spacing w:after="0" w:line="17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of Form 20-F</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 2022, the Group filed its annual report on Form 20-F as of December 31, 2021, and 2020 and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5" w:right="359" w:bottom="1440" w:gutter="0" w:footer="0" w:header="0"/>
        </w:sectPr>
      </w:pPr>
    </w:p>
    <w:bookmarkStart w:id="19" w:name="page20"/>
    <w:bookmarkEnd w:id="19"/>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Collateralized Credit Facility</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March 3, 2022, DLocal Group Limited (the “Borrower”) entered into a Credit Agreement (the “Agreement”) with Bank J. Safra Sarasin (Gibraltar) Ltd, acting through its London Branch (the “Bank”), pursuant to which the Bank grants a facility to the Borrower of a maximum amount of a total of U$S 4,000 (the “Credit Facility”). The Borrower may utilize the Credit Facility for options and futures transactions as well as structured products subject to margin requirements.</w:t>
      </w:r>
    </w:p>
    <w:p>
      <w:pPr>
        <w:spacing w:after="0" w:line="2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Management</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August 10, 2022, Alberto Almeida was appointed as the new Chief Technology Officer of the Company, effective immediately, following the decision of Hernan Di Chello to step down from that position to pursue an outside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20" w:name="page21"/>
    <w:bookmarkEnd w:id="20"/>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Presentation and preparation of the Consolidated Condensed Interim Financial Statements and significant accounting policies</w:t>
      </w:r>
    </w:p>
    <w:p>
      <w:pPr>
        <w:spacing w:after="0" w:line="117" w:lineRule="exact"/>
        <w:rPr>
          <w:rFonts w:ascii="Times New Roman" w:cs="Times New Roman" w:eastAsia="Times New Roman" w:hAnsi="Times New Roman"/>
          <w:sz w:val="18"/>
          <w:szCs w:val="18"/>
          <w:b w:val="1"/>
          <w:bCs w:val="1"/>
          <w:color w:val="231F20"/>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Basis of preparation of consolidated condensed interim financial information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231F20"/>
        </w:rPr>
        <w:t>These Consolidated Condensed Interim Financial Statements for the nine months ended September 30, 2022 have been prepared in accordance with International Accounting Standard 34, “Interim Financial Reporting” as issued by the International Accounting Standard Board.</w:t>
      </w:r>
    </w:p>
    <w:p>
      <w:pPr>
        <w:spacing w:after="0" w:line="162"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231F20"/>
        </w:rPr>
        <w:t>These Consolidated Condensed Interim Financial Statements do not include all the notes of the type normally included in an annual consolidated financial statement. Accordingly, this report should be read in conjunction with the annual consolidated financial statements for the year ended December 31, 2021 (the “Annual Financial Statements”).</w:t>
      </w:r>
    </w:p>
    <w:p>
      <w:pPr>
        <w:spacing w:after="0" w:line="176" w:lineRule="exact"/>
        <w:rPr>
          <w:sz w:val="20"/>
          <w:szCs w:val="20"/>
          <w:color w:val="auto"/>
        </w:rPr>
      </w:pPr>
    </w:p>
    <w:p>
      <w:pPr>
        <w:jc w:val="both"/>
        <w:ind w:right="1100"/>
        <w:spacing w:after="0" w:line="312" w:lineRule="auto"/>
        <w:rPr>
          <w:sz w:val="20"/>
          <w:szCs w:val="20"/>
          <w:color w:val="auto"/>
        </w:rPr>
      </w:pPr>
      <w:r>
        <w:rPr>
          <w:rFonts w:ascii="Times New Roman" w:cs="Times New Roman" w:eastAsia="Times New Roman" w:hAnsi="Times New Roman"/>
          <w:sz w:val="17"/>
          <w:szCs w:val="17"/>
          <w:color w:val="231F20"/>
        </w:rPr>
        <w:t>The accounting policies and critical accounting estimates and judgments adopted, except for those explicitly indicated on these Consolidated Condensed Interim Financial Statements, are consistent with those of the previous financial year and corresponding interim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are presented in thousands of U.S. Dollars except share data or as otherwise indicated.</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These Consolidated Condensed Interim Financial Statements for the nine months ended September 30, 2022 were authorized for issuance by the dLocal’s Board of Directors on November 14,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2.2. Share-based payments</w:t>
      </w:r>
    </w:p>
    <w:p>
      <w:pPr>
        <w:spacing w:after="0" w:line="121"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231F20"/>
        </w:rPr>
        <w:t xml:space="preserve">During the nine months ended September 30, 2022 , the Group granted new share options and restricted share units under the </w:t>
      </w:r>
      <w:r>
        <w:rPr>
          <w:rFonts w:ascii="Times New Roman" w:cs="Times New Roman" w:eastAsia="Times New Roman" w:hAnsi="Times New Roman"/>
          <w:sz w:val="18"/>
          <w:szCs w:val="18"/>
          <w:color w:val="000000"/>
        </w:rPr>
        <w:t>Amended and Restated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2020 Global Share Incentive Plan </w:t>
      </w:r>
      <w:r>
        <w:rPr>
          <w:rFonts w:ascii="Times New Roman" w:cs="Times New Roman" w:eastAsia="Times New Roman" w:hAnsi="Times New Roman"/>
          <w:sz w:val="18"/>
          <w:szCs w:val="18"/>
          <w:color w:val="231F20"/>
        </w:rPr>
        <w:t>to executives and employees in return for their services, which represented changes in the composition of share options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outstanding at the end of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2.2.1. Employee Share Purchase Plan (“ESPP”)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Set out below are summaries of restricted share units and share options granted under the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4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2021 *</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40" w:type="dxa"/>
            <w:vAlign w:val="bottom"/>
          </w:tcPr>
          <w:p>
            <w:pPr>
              <w:spacing w:after="0"/>
              <w:rPr>
                <w:sz w:val="14"/>
                <w:szCs w:val="14"/>
                <w:color w:val="auto"/>
              </w:rPr>
            </w:pP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options and</w:t>
            </w:r>
          </w:p>
        </w:tc>
        <w:tc>
          <w:tcPr>
            <w:tcW w:w="1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40" w:type="dxa"/>
            <w:vAlign w:val="bottom"/>
          </w:tcPr>
          <w:p>
            <w:pPr>
              <w:spacing w:after="0"/>
              <w:rPr>
                <w:sz w:val="14"/>
                <w:szCs w:val="14"/>
                <w:color w:val="auto"/>
              </w:rPr>
            </w:pP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options and</w:t>
            </w: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14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RSUs</w:t>
            </w:r>
          </w:p>
        </w:tc>
        <w:tc>
          <w:tcPr>
            <w:tcW w:w="0" w:type="dxa"/>
            <w:vAlign w:val="bottom"/>
          </w:tcPr>
          <w:p>
            <w:pPr>
              <w:spacing w:after="0"/>
              <w:rPr>
                <w:sz w:val="1"/>
                <w:szCs w:val="1"/>
                <w:color w:val="auto"/>
              </w:rPr>
            </w:pPr>
          </w:p>
        </w:tc>
      </w:tr>
      <w:tr>
        <w:trPr>
          <w:trHeight w:val="20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At the beginning of the period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4,032,345</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1.22</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17,361,000</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during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1,104,677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2,371,345</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Exercised during the period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(956,650)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(15,685,000)</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during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At the end of the period</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8.45</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3,498,631</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4,032,345</w:t>
            </w:r>
          </w:p>
        </w:tc>
        <w:tc>
          <w:tcPr>
            <w:tcW w:w="0" w:type="dxa"/>
            <w:vAlign w:val="bottom"/>
          </w:tcPr>
          <w:p>
            <w:pPr>
              <w:spacing w:after="0"/>
              <w:rPr>
                <w:sz w:val="1"/>
                <w:szCs w:val="1"/>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Vested and exercisable at the end of the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317,350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486,750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-162560</wp:posOffset>
            </wp:positionV>
            <wp:extent cx="8572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-162560</wp:posOffset>
            </wp:positionV>
            <wp:extent cx="85725"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-162560</wp:posOffset>
            </wp:positionV>
            <wp:extent cx="8572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24" w:lineRule="exact"/>
        <w:rPr>
          <w:sz w:val="20"/>
          <w:szCs w:val="20"/>
          <w:color w:val="auto"/>
        </w:rPr>
      </w:pPr>
    </w:p>
    <w:p>
      <w:pPr>
        <w:ind w:right="180" w:firstLine="8"/>
        <w:spacing w:after="0" w:line="266" w:lineRule="auto"/>
        <w:tabs>
          <w:tab w:leader="none" w:pos="3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Retroactively adjusted to reflect the effect of the stock split described in Note 1 to the Annual Financial Statements for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 options expired during the periods covered by the above table.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Share options and restricted share units outstanding at the end of the period have the following expiry dates and exercise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tbl>
      <w:tblPr>
        <w:tblLayout w:type="fixed"/>
        <w:tblInd w:w="8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 options</w:t>
            </w: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 options</w:t>
            </w: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0" w:type="dxa"/>
            <w:vAlign w:val="bottom"/>
          </w:tcPr>
          <w:p>
            <w:pPr>
              <w:spacing w:after="0"/>
              <w:rPr>
                <w:sz w:val="14"/>
                <w:szCs w:val="14"/>
                <w:color w:val="auto"/>
              </w:rPr>
            </w:pPr>
          </w:p>
        </w:tc>
        <w:tc>
          <w:tcPr>
            <w:tcW w:w="1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and</w:t>
            </w:r>
          </w:p>
        </w:tc>
        <w:tc>
          <w:tcPr>
            <w:tcW w:w="18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and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RSUs</w:t>
            </w:r>
          </w:p>
        </w:tc>
        <w:tc>
          <w:tcPr>
            <w:tcW w:w="180" w:type="dxa"/>
            <w:vAlign w:val="bottom"/>
          </w:tcPr>
          <w:p>
            <w:pPr>
              <w:spacing w:after="0"/>
              <w:rPr>
                <w:sz w:val="15"/>
                <w:szCs w:val="15"/>
                <w:color w:val="auto"/>
              </w:rPr>
            </w:pPr>
          </w:p>
        </w:tc>
        <w:tc>
          <w:tcPr>
            <w:tcW w:w="12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RSUs December</w:t>
            </w:r>
          </w:p>
        </w:tc>
        <w:tc>
          <w:tcPr>
            <w:tcW w:w="0" w:type="dxa"/>
            <w:vAlign w:val="bottom"/>
          </w:tcPr>
          <w:p>
            <w:pPr>
              <w:spacing w:after="0"/>
              <w:rPr>
                <w:sz w:val="1"/>
                <w:szCs w:val="1"/>
                <w:color w:val="auto"/>
              </w:rPr>
            </w:pPr>
          </w:p>
        </w:tc>
      </w:tr>
      <w:tr>
        <w:trPr>
          <w:trHeight w:val="164"/>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Vesting period</w:t>
            </w:r>
          </w:p>
        </w:tc>
        <w:tc>
          <w:tcPr>
            <w:tcW w:w="120" w:type="dxa"/>
            <w:vAlign w:val="bottom"/>
          </w:tcPr>
          <w:p>
            <w:pPr>
              <w:spacing w:after="0"/>
              <w:rPr>
                <w:sz w:val="14"/>
                <w:szCs w:val="14"/>
                <w:color w:val="auto"/>
              </w:rPr>
            </w:pPr>
          </w:p>
        </w:tc>
        <w:tc>
          <w:tcPr>
            <w:tcW w:w="15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Last vesting date</w:t>
            </w:r>
          </w:p>
        </w:tc>
        <w:tc>
          <w:tcPr>
            <w:tcW w:w="140" w:type="dxa"/>
            <w:vAlign w:val="bottom"/>
          </w:tcPr>
          <w:p>
            <w:pPr>
              <w:spacing w:after="0"/>
              <w:rPr>
                <w:sz w:val="14"/>
                <w:szCs w:val="14"/>
                <w:color w:val="auto"/>
              </w:rPr>
            </w:pPr>
          </w:p>
        </w:tc>
        <w:tc>
          <w:tcPr>
            <w:tcW w:w="120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(U.S. Dollars</w:t>
            </w:r>
          </w:p>
        </w:tc>
        <w:tc>
          <w:tcPr>
            <w:tcW w:w="140" w:type="dxa"/>
            <w:vAlign w:val="bottom"/>
          </w:tcPr>
          <w:p>
            <w:pPr>
              <w:spacing w:after="0"/>
              <w:rPr>
                <w:sz w:val="14"/>
                <w:szCs w:val="14"/>
                <w:color w:val="auto"/>
              </w:rPr>
            </w:pPr>
          </w:p>
        </w:tc>
        <w:tc>
          <w:tcPr>
            <w:tcW w:w="11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419"/>
              <w:spacing w:after="0" w:line="165" w:lineRule="exact"/>
              <w:rPr>
                <w:sz w:val="20"/>
                <w:szCs w:val="20"/>
                <w:color w:val="auto"/>
              </w:rPr>
            </w:pPr>
            <w:r>
              <w:rPr>
                <w:rFonts w:ascii="Times New Roman" w:cs="Times New Roman" w:eastAsia="Times New Roman" w:hAnsi="Times New Roman"/>
                <w:sz w:val="16"/>
                <w:szCs w:val="16"/>
                <w:b w:val="1"/>
                <w:bCs w:val="1"/>
                <w:color w:val="auto"/>
              </w:rPr>
              <w:t>31,</w:t>
            </w:r>
          </w:p>
        </w:tc>
        <w:tc>
          <w:tcPr>
            <w:tcW w:w="0" w:type="dxa"/>
            <w:vAlign w:val="bottom"/>
          </w:tcPr>
          <w:p>
            <w:pPr>
              <w:spacing w:after="0"/>
              <w:rPr>
                <w:sz w:val="1"/>
                <w:szCs w:val="1"/>
                <w:color w:val="auto"/>
              </w:rPr>
            </w:pPr>
          </w:p>
        </w:tc>
      </w:tr>
      <w:tr>
        <w:trPr>
          <w:trHeight w:val="212"/>
        </w:trPr>
        <w:tc>
          <w:tcPr>
            <w:tcW w:w="3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per A Share)</w:t>
            </w:r>
          </w:p>
        </w:tc>
        <w:tc>
          <w:tcPr>
            <w:tcW w:w="13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80" w:type="dxa"/>
            <w:vAlign w:val="bottom"/>
          </w:tcPr>
          <w:p>
            <w:pPr>
              <w:spacing w:after="0"/>
              <w:rPr>
                <w:sz w:val="18"/>
                <w:szCs w:val="18"/>
                <w:color w:val="auto"/>
              </w:rPr>
            </w:pP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 *</w:t>
            </w:r>
          </w:p>
        </w:tc>
        <w:tc>
          <w:tcPr>
            <w:tcW w:w="0" w:type="dxa"/>
            <w:vAlign w:val="bottom"/>
          </w:tcPr>
          <w:p>
            <w:pPr>
              <w:spacing w:after="0"/>
              <w:rPr>
                <w:sz w:val="1"/>
                <w:szCs w:val="1"/>
                <w:color w:val="auto"/>
              </w:rPr>
            </w:pPr>
          </w:p>
        </w:tc>
      </w:tr>
      <w:tr>
        <w:trPr>
          <w:trHeight w:val="186"/>
        </w:trPr>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August 1st, 2018</w:t>
            </w:r>
          </w:p>
        </w:tc>
        <w:tc>
          <w:tcPr>
            <w:tcW w:w="140" w:type="dxa"/>
            <w:vAlign w:val="bottom"/>
          </w:tcPr>
          <w:p>
            <w:pPr>
              <w:spacing w:after="0"/>
              <w:rPr>
                <w:sz w:val="16"/>
                <w:szCs w:val="16"/>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6"/>
                <w:szCs w:val="16"/>
                <w:color w:val="auto"/>
              </w:rPr>
            </w:pPr>
          </w:p>
        </w:tc>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August 1st, 2021</w:t>
            </w:r>
          </w:p>
        </w:tc>
        <w:tc>
          <w:tcPr>
            <w:tcW w:w="14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40" w:type="dxa"/>
            <w:vAlign w:val="bottom"/>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October 1st, 2019</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1st, 2022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August 24th, 2020</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24th,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November 15th, 2020</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15th, 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87,750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November 23rd, 2020</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23rd, 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January 1st,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1st,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0" w:type="dxa"/>
            <w:vAlign w:val="bottom"/>
          </w:tcPr>
          <w:p>
            <w:pPr>
              <w:spacing w:after="0"/>
              <w:rPr>
                <w:sz w:val="1"/>
                <w:szCs w:val="1"/>
                <w:color w:val="auto"/>
              </w:rPr>
            </w:pPr>
          </w:p>
        </w:tc>
      </w:tr>
      <w:tr>
        <w:trPr>
          <w:trHeight w:val="176"/>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March 1st, 2021</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 year</w:t>
            </w:r>
          </w:p>
        </w:tc>
        <w:tc>
          <w:tcPr>
            <w:tcW w:w="120" w:type="dxa"/>
            <w:vAlign w:val="bottom"/>
          </w:tcPr>
          <w:p>
            <w:pPr>
              <w:spacing w:after="0"/>
              <w:rPr>
                <w:sz w:val="15"/>
                <w:szCs w:val="15"/>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March 1st, 2022</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2nd,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2nd,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76"/>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March 11th, 2021</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March 11th, 2026</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54,600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1,031,000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March 11th, 2021</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5"/>
                <w:szCs w:val="15"/>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July 31st, 2024</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772,000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11th,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11th,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12nd,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12nd,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15th,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15th,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29th,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29th,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May 11th,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11th,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603,500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927,500</w:t>
            </w:r>
          </w:p>
        </w:tc>
        <w:tc>
          <w:tcPr>
            <w:tcW w:w="0" w:type="dxa"/>
            <w:vAlign w:val="bottom"/>
          </w:tcPr>
          <w:p>
            <w:pPr>
              <w:spacing w:after="0"/>
              <w:rPr>
                <w:sz w:val="1"/>
                <w:szCs w:val="1"/>
                <w:color w:val="auto"/>
              </w:rPr>
            </w:pPr>
          </w:p>
        </w:tc>
      </w:tr>
      <w:tr>
        <w:trPr>
          <w:trHeight w:val="176"/>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May 11th, 2021</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5"/>
                <w:szCs w:val="15"/>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May 11th, 2024</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May 18th, 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18th,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76"/>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December 9th, 2021</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December 9th, 2026</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73,366</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79,345</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February 21st, 2022</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February 21st, 2027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16th,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16th,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March 28th,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28th,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55,256</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April 1st, 2022</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April 1st, 2027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May 1st, 2022</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May 1st, 2027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57,665</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May 1st,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1st,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May 18th,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18th,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May 26th,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26th,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July 1st,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 1st, 2028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88,500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July 1st, 2022</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 years</w:t>
            </w:r>
          </w:p>
        </w:tc>
        <w:tc>
          <w:tcPr>
            <w:tcW w:w="120" w:type="dxa"/>
            <w:vAlign w:val="bottom"/>
          </w:tcPr>
          <w:p>
            <w:pPr>
              <w:spacing w:after="0"/>
              <w:rPr>
                <w:sz w:val="15"/>
                <w:szCs w:val="15"/>
                <w:color w:val="auto"/>
              </w:rPr>
            </w:pPr>
          </w:p>
        </w:tc>
        <w:tc>
          <w:tcPr>
            <w:tcW w:w="1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July 1st, 2025</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13,428</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August 15th, 2022</w:t>
            </w:r>
          </w:p>
        </w:tc>
        <w:tc>
          <w:tcPr>
            <w:tcW w:w="1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5"/>
                <w:szCs w:val="15"/>
                <w:color w:val="auto"/>
              </w:rPr>
            </w:pPr>
          </w:p>
        </w:tc>
        <w:tc>
          <w:tcPr>
            <w:tcW w:w="15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August 15th, 2027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0.002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August 15th,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15th,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August 15th, 2022</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7"/>
                <w:szCs w:val="17"/>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15th,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101,250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August 15th, 2022</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15th, 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-5139055</wp:posOffset>
            </wp:positionV>
            <wp:extent cx="705485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-4881880</wp:posOffset>
            </wp:positionV>
            <wp:extent cx="705485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-4624705</wp:posOffset>
            </wp:positionV>
            <wp:extent cx="705485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-4367530</wp:posOffset>
            </wp:positionV>
            <wp:extent cx="7054850" cy="2311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-4007485</wp:posOffset>
            </wp:positionV>
            <wp:extent cx="7054850" cy="231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-3544570</wp:posOffset>
            </wp:positionV>
            <wp:extent cx="705485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-3287395</wp:posOffset>
            </wp:positionV>
            <wp:extent cx="705485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-3030220</wp:posOffset>
            </wp:positionV>
            <wp:extent cx="705485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-2670175</wp:posOffset>
            </wp:positionV>
            <wp:extent cx="705485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-2310130</wp:posOffset>
            </wp:positionV>
            <wp:extent cx="7054850" cy="2317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54850" cy="23177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-1950085</wp:posOffset>
            </wp:positionV>
            <wp:extent cx="705485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-1590040</wp:posOffset>
            </wp:positionV>
            <wp:extent cx="7054850" cy="2317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54850" cy="23177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-1229995</wp:posOffset>
            </wp:positionV>
            <wp:extent cx="705485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-972820</wp:posOffset>
            </wp:positionV>
            <wp:extent cx="705485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-612775</wp:posOffset>
            </wp:positionV>
            <wp:extent cx="7054850" cy="2311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54850" cy="2311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-252730</wp:posOffset>
            </wp:positionV>
            <wp:extent cx="705485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659" w:lineRule="exact"/>
        <w:rPr>
          <w:sz w:val="20"/>
          <w:szCs w:val="20"/>
          <w:color w:val="auto"/>
        </w:rPr>
      </w:pPr>
    </w:p>
    <w:p>
      <w:pPr>
        <w:sectPr>
          <w:pgSz w:w="11900" w:h="16838" w:orient="portrait"/>
          <w:cols w:equalWidth="0" w:num="2">
            <w:col w:w="11020" w:space="0"/>
            <w:col w:w="160"/>
          </w:cols>
          <w:pgMar w:left="320" w:top="115" w:right="399" w:bottom="1440" w:gutter="0" w:footer="0" w:header="0"/>
        </w:sectPr>
      </w:pPr>
    </w:p>
    <w:tbl>
      <w:tblPr>
        <w:tblLayout w:type="fixed"/>
        <w:tblInd w:w="80" w:type="dxa"/>
        <w:tblCellMar>
          <w:top w:w="0" w:type="dxa"/>
          <w:left w:w="0" w:type="dxa"/>
          <w:bottom w:w="0" w:type="dxa"/>
          <w:right w:w="0" w:type="dxa"/>
        </w:tblCellMar>
      </w:tblPr>
      <w:tr>
        <w:trPr>
          <w:trHeight w:val="188"/>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6th, 2022</w:t>
            </w:r>
          </w:p>
        </w:tc>
        <w:tc>
          <w:tcPr>
            <w:tcW w:w="2220" w:type="dxa"/>
            <w:vAlign w:val="bottom"/>
            <w:tcBorders>
              <w:bottom w:val="single" w:sz="8" w:color="CFF0FC"/>
            </w:tcBorders>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rPr>
              <w:t>5 years</w:t>
            </w:r>
          </w:p>
        </w:tc>
        <w:tc>
          <w:tcPr>
            <w:tcW w:w="2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September 6th, 2027</w:t>
            </w:r>
          </w:p>
        </w:tc>
        <w:tc>
          <w:tcPr>
            <w:tcW w:w="106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26.51</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8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3,498,631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4,032,345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gridSpan w:val="3"/>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2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Weighted average remaining contractual life of restricted share units and share options outstanding at end</w:t>
            </w:r>
          </w:p>
        </w:tc>
        <w:tc>
          <w:tcPr>
            <w:tcW w:w="10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 years</w:t>
            </w:r>
          </w:p>
        </w:tc>
        <w:tc>
          <w:tcPr>
            <w:tcW w:w="180" w:type="dxa"/>
            <w:vAlign w:val="bottom"/>
          </w:tcPr>
          <w:p>
            <w:pPr>
              <w:spacing w:after="0"/>
              <w:rPr>
                <w:sz w:val="14"/>
                <w:szCs w:val="14"/>
                <w:color w:val="auto"/>
              </w:rPr>
            </w:pPr>
          </w:p>
        </w:tc>
        <w:tc>
          <w:tcPr>
            <w:tcW w:w="13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4.24 years</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of the year</w:t>
            </w:r>
          </w:p>
        </w:tc>
        <w:tc>
          <w:tcPr>
            <w:tcW w:w="2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-509905</wp:posOffset>
            </wp:positionV>
            <wp:extent cx="11112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-509905</wp:posOffset>
            </wp:positionV>
            <wp:extent cx="11112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46050"/>
                    </a:xfrm>
                    <a:prstGeom prst="rect">
                      <a:avLst/>
                    </a:prstGeom>
                    <a:noFill/>
                  </pic:spPr>
                </pic:pic>
              </a:graphicData>
            </a:graphic>
          </wp:anchor>
        </w:drawing>
      </w:r>
    </w:p>
    <w:p>
      <w:pPr>
        <w:spacing w:after="0" w:line="76" w:lineRule="exact"/>
        <w:rPr>
          <w:sz w:val="20"/>
          <w:szCs w:val="20"/>
          <w:color w:val="auto"/>
        </w:rPr>
      </w:pPr>
    </w:p>
    <w:p>
      <w:pPr>
        <w:ind w:right="120" w:firstLine="8"/>
        <w:spacing w:after="0" w:line="246" w:lineRule="auto"/>
        <w:tabs>
          <w:tab w:leader="none" w:pos="3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Retroactively adjusted to reflect the effect of the stock split described in Note 1 to the Annual Financial Statements for the year ended December 31, 2021.</w:t>
      </w:r>
    </w:p>
    <w:p>
      <w:pPr>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It corresponds to Restricted Share Units (RSUs) granted.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2.3. New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Group has not early adopted the following standards, interpretations or amendments that have been issued but are not yet effective:</w:t>
      </w:r>
    </w:p>
    <w:p>
      <w:pPr>
        <w:spacing w:after="0" w:line="30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 Classification of Liabilities as Current or Non-current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and IFRS Practice Statement 2 - Disclosure of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type w:val="continuous"/>
        </w:sectPr>
      </w:pPr>
    </w:p>
    <w:bookmarkStart w:id="22" w:name="page23"/>
    <w:bookmarkEnd w:id="22"/>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 Definition of Accounting Estimates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 Deferred Tax related to Assets and Liabilities arising from a Single Transaction</w:t>
      </w:r>
    </w:p>
    <w:p>
      <w:pPr>
        <w:spacing w:after="0" w:line="317" w:lineRule="exact"/>
        <w:rPr>
          <w:rFonts w:ascii="Times New Roman" w:cs="Times New Roman" w:eastAsia="Times New Roman" w:hAnsi="Times New Roman"/>
          <w:sz w:val="18"/>
          <w:szCs w:val="18"/>
          <w:color w:val="auto"/>
        </w:rPr>
      </w:pPr>
    </w:p>
    <w:p>
      <w:pPr>
        <w:ind w:left="1020" w:right="120" w:hanging="503"/>
        <w:spacing w:after="0" w:line="24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23, 2020, the IASB issued narrow-scope amendments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to clarify how to classify debt and other liabilities as current or non-current. The amendments aim to promote consistency in applying the requirements by helping companies determine whether, in the statement of financial position, debt and other liabilities with an uncertain settlement date should be classified as current (due or potentially due to be settled within one year) or non-current. The amendments include clarifying the classification requirements for debt a company might settle by converting it into equity. The amendments clarify, not change, existing requirements, and so are not expected to affect Group’s financial statements significantly. This amendment is effective for annual reporting periods beginning on or after January 1, 2023 and is to be applied retrospectively. Earlier application is permitted.</w:t>
      </w:r>
    </w:p>
    <w:p>
      <w:pPr>
        <w:spacing w:after="0" w:line="75" w:lineRule="exact"/>
        <w:rPr>
          <w:rFonts w:ascii="Times New Roman" w:cs="Times New Roman" w:eastAsia="Times New Roman" w:hAnsi="Times New Roman"/>
          <w:sz w:val="18"/>
          <w:szCs w:val="18"/>
          <w:color w:val="auto"/>
        </w:rPr>
      </w:pPr>
    </w:p>
    <w:p>
      <w:pPr>
        <w:ind w:left="1020" w:right="14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2021, the IASB issued 'Disclosure of Accounting Policies (Amendments to IAS 1 and IFRS Practice Statement 2)' to help preparers in deciding which accounting policies to disclose in their financial statements. The management of the Company does not anticipate that the application of this amendment will have a material impact on the Company's consolidated financial statements. This amendment is effective for annual periods beginning on or after January 1, 2023. Earlier application is permitted. The Company has not opted for early application.</w:t>
      </w:r>
    </w:p>
    <w:p>
      <w:pPr>
        <w:spacing w:after="0" w:line="86"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2021, the IASB issued 'Definition of Accounting Estimates (Amendments to IAS 8)' providing a new definition of accounting estimates to help entities to distinguish between accounting policies and accounting estimates. The management of the Company does not anticipate that the application of this amendment will have a material impact on the Company's consolidated financial statements. This amendment is effective for annual periods beginning on or after January 1, 2023. Earlier application is permitted. The Company has not opted for early application.</w:t>
      </w:r>
    </w:p>
    <w:p>
      <w:pPr>
        <w:spacing w:after="0" w:line="73"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2021, the IASB issued 'Deferred Tax related to Assets and Liabilities arising from a Single Transaction (Amendments to IAS 12)' clarifying that the initial recognition exemption does not apply to transactions in which equal amounts of deductible and taxable temporary differences arise on initial recognition. This amendment is effective for annual periods beginning on or after January 1, 2023. Earlier application is permitted. The Company has not opted for early application.</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Group did not change its accounting policies or make retrospective adjustments as a result of new accounting standards made applicable 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23" w:name="page24"/>
    <w:bookmarkEnd w:id="23"/>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Accounting estimates and judgments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Accounting estimates and judgments are continually evaluated and are based on historical experience and other factors, including expectations of future events that are believed to be reasonable under the circumstances.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critical accounting estimates and judgments adopted on these Consolidated Condensed Interim Financial Statements are consistent with those of the previous financial year and corresponding interim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93" w:right="599" w:bottom="1440" w:gutter="0" w:footer="0" w:header="0"/>
        </w:sectPr>
      </w:pPr>
    </w:p>
    <w:bookmarkStart w:id="24" w:name="page25"/>
    <w:bookmarkEnd w:id="24"/>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Consolidation of subsidiaries</w:t>
      </w:r>
    </w:p>
    <w:p>
      <w:pPr>
        <w:spacing w:after="0" w:line="216"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color w:val="auto"/>
        </w:rPr>
        <w:t>DLocal Limited, located in Cayman Islands, is the parent company of the Group and acts as a holding company for subsidiaries whose main activity is cross-border and local payments, enabling international merchants to access end customers in emerging markets. Its revenue comes from dividends receivable from subsidiaries and share of profit from subsidiary partnership.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Group include the following subsidiaries: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6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7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 equity interest held by Dlocal</w:t>
            </w:r>
          </w:p>
        </w:tc>
        <w:tc>
          <w:tcPr>
            <w:tcW w:w="0" w:type="dxa"/>
            <w:vAlign w:val="bottom"/>
          </w:tcPr>
          <w:p>
            <w:pPr>
              <w:spacing w:after="0"/>
              <w:rPr>
                <w:sz w:val="1"/>
                <w:szCs w:val="1"/>
                <w:color w:val="auto"/>
              </w:rPr>
            </w:pPr>
          </w:p>
        </w:tc>
      </w:tr>
      <w:tr>
        <w:trPr>
          <w:trHeight w:val="13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37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20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2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12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640" w:type="dxa"/>
            <w:vAlign w:val="bottom"/>
          </w:tcPr>
          <w:p>
            <w:pPr>
              <w:spacing w:after="0"/>
              <w:rPr>
                <w:sz w:val="6"/>
                <w:szCs w:val="6"/>
                <w:color w:val="auto"/>
              </w:rPr>
            </w:pPr>
          </w:p>
        </w:tc>
        <w:tc>
          <w:tcPr>
            <w:tcW w:w="37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11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160"/>
        </w:trPr>
        <w:tc>
          <w:tcPr>
            <w:tcW w:w="42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Dlocal Group Limited</w:t>
            </w:r>
          </w:p>
        </w:tc>
        <w:tc>
          <w:tcPr>
            <w:tcW w:w="200" w:type="dxa"/>
            <w:vAlign w:val="bottom"/>
          </w:tcPr>
          <w:p>
            <w:pPr>
              <w:spacing w:after="0"/>
              <w:rPr>
                <w:sz w:val="13"/>
                <w:szCs w:val="13"/>
                <w:color w:val="auto"/>
              </w:rPr>
            </w:pPr>
          </w:p>
        </w:tc>
        <w:tc>
          <w:tcPr>
            <w:tcW w:w="184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Malta</w:t>
            </w:r>
          </w:p>
        </w:tc>
        <w:tc>
          <w:tcPr>
            <w:tcW w:w="200" w:type="dxa"/>
            <w:vAlign w:val="bottom"/>
          </w:tcPr>
          <w:p>
            <w:pPr>
              <w:spacing w:after="0"/>
              <w:rPr>
                <w:sz w:val="13"/>
                <w:szCs w:val="13"/>
                <w:color w:val="auto"/>
              </w:rPr>
            </w:pPr>
          </w:p>
        </w:tc>
        <w:tc>
          <w:tcPr>
            <w:tcW w:w="182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Holding Company</w:t>
            </w:r>
          </w:p>
        </w:tc>
        <w:tc>
          <w:tcPr>
            <w:tcW w:w="200" w:type="dxa"/>
            <w:vAlign w:val="bottom"/>
          </w:tcPr>
          <w:p>
            <w:pPr>
              <w:spacing w:after="0"/>
              <w:rPr>
                <w:sz w:val="13"/>
                <w:szCs w:val="13"/>
                <w:color w:val="auto"/>
              </w:rPr>
            </w:pPr>
          </w:p>
        </w:tc>
        <w:tc>
          <w:tcPr>
            <w:tcW w:w="116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Malta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99.999%</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Markets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Malta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 Company</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Hold Ops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Cayman Islands</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 Company</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LLP</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United Kingdom</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99.999%</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Corp LLP</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United Kingdom</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99.99%</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OpCo UK LTD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United Kingdom</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Payments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Inc.</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United States of America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 Company</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Technologies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Uruguay</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Uruguay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Uruguay</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PTE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Singapore</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 Company</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Argentina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Argentina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Argentina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Argentina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Services Arg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Argentina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Service provider</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Bangladesh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Bangladesh</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Bolivia S.R.L.</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Bolivia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Brasil Holding Financeira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Brazil</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 Company</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Brasil Instituição de Pagamento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Brazil</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Brasil Facilitadora de Pagamentos Ltda.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Brazil</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Webpay Brasil Pagamentos Ltda.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Brazil</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Cameroun SARL</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Cameroon</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Chile SPA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Chile</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Chile SPA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Chile</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Pagos y Servicios Limitada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Chile</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FCA Chile 2 Spa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Chile</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Colombia S.A.S.</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Colombia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Colombia S.A.S.</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Colombia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W-Collect S.A.S.</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Colombia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BH Collect S.A.S.</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Colombia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Kupa Colombia S.A.S.</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Colombia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56"/>
        </w:trPr>
        <w:tc>
          <w:tcPr>
            <w:tcW w:w="420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Dlocal Costa Rica SRL</w:t>
            </w:r>
          </w:p>
        </w:tc>
        <w:tc>
          <w:tcPr>
            <w:tcW w:w="200" w:type="dxa"/>
            <w:vAlign w:val="bottom"/>
          </w:tcPr>
          <w:p>
            <w:pPr>
              <w:spacing w:after="0"/>
              <w:rPr>
                <w:sz w:val="13"/>
                <w:szCs w:val="13"/>
                <w:color w:val="auto"/>
              </w:rPr>
            </w:pPr>
          </w:p>
        </w:tc>
        <w:tc>
          <w:tcPr>
            <w:tcW w:w="18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Costa Rica</w:t>
            </w:r>
          </w:p>
        </w:tc>
        <w:tc>
          <w:tcPr>
            <w:tcW w:w="200" w:type="dxa"/>
            <w:vAlign w:val="bottom"/>
          </w:tcPr>
          <w:p>
            <w:pPr>
              <w:spacing w:after="0"/>
              <w:rPr>
                <w:sz w:val="13"/>
                <w:szCs w:val="13"/>
                <w:color w:val="auto"/>
              </w:rPr>
            </w:pPr>
          </w:p>
        </w:tc>
        <w:tc>
          <w:tcPr>
            <w:tcW w:w="18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line="157" w:lineRule="exact"/>
              <w:rPr>
                <w:sz w:val="20"/>
                <w:szCs w:val="20"/>
                <w:color w:val="auto"/>
              </w:rPr>
            </w:pPr>
            <w:r>
              <w:rPr>
                <w:rFonts w:ascii="Times New Roman" w:cs="Times New Roman" w:eastAsia="Times New Roman" w:hAnsi="Times New Roman"/>
                <w:sz w:val="14"/>
                <w:szCs w:val="14"/>
                <w:color w:val="auto"/>
                <w:w w:val="97"/>
              </w:rPr>
              <w:t>100%</w:t>
            </w:r>
          </w:p>
        </w:tc>
      </w:tr>
      <w:tr>
        <w:trPr>
          <w:trHeight w:val="195"/>
        </w:trPr>
        <w:tc>
          <w:tcPr>
            <w:tcW w:w="4200" w:type="dxa"/>
            <w:vAlign w:val="bottom"/>
          </w:tcPr>
          <w:p>
            <w:pPr>
              <w:ind w:left="20"/>
              <w:spacing w:after="0" w:line="194" w:lineRule="exact"/>
              <w:rPr>
                <w:sz w:val="20"/>
                <w:szCs w:val="20"/>
                <w:color w:val="auto"/>
              </w:rPr>
            </w:pPr>
            <w:r>
              <w:rPr>
                <w:rFonts w:ascii="Times New Roman" w:cs="Times New Roman" w:eastAsia="Times New Roman" w:hAnsi="Times New Roman"/>
                <w:sz w:val="14"/>
                <w:szCs w:val="14"/>
                <w:color w:val="auto"/>
              </w:rPr>
              <w:t xml:space="preserve">Demerege Ecuador S.A. </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Ecuador</w:t>
            </w:r>
          </w:p>
        </w:tc>
        <w:tc>
          <w:tcPr>
            <w:tcW w:w="2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Egypt LLC</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Egypt</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El Salvador S.A de C.V.</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El Salvador</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Demerge Guatemala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Guatemala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Honduras S.A.</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Honduras</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Depansum Solutions Private Limited</w:t>
            </w: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India</w:t>
            </w:r>
          </w:p>
        </w:tc>
        <w:tc>
          <w:tcPr>
            <w:tcW w:w="2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w:t>
            </w: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Dlocal India Pvt Limited</w:t>
            </w:r>
          </w:p>
        </w:tc>
        <w:tc>
          <w:tcPr>
            <w:tcW w:w="2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India</w:t>
            </w:r>
          </w:p>
        </w:tc>
        <w:tc>
          <w:tcPr>
            <w:tcW w:w="2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Collection agent</w:t>
            </w:r>
          </w:p>
        </w:tc>
        <w:tc>
          <w:tcPr>
            <w:tcW w:w="13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-4013200</wp:posOffset>
            </wp:positionV>
            <wp:extent cx="7132320"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-3790315</wp:posOffset>
            </wp:positionV>
            <wp:extent cx="7132320"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-3567430</wp:posOffset>
            </wp:positionV>
            <wp:extent cx="7132320" cy="1117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-3344545</wp:posOffset>
            </wp:positionV>
            <wp:extent cx="7132320" cy="1117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-3122295</wp:posOffset>
            </wp:positionV>
            <wp:extent cx="7132320" cy="1117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-2898775</wp:posOffset>
            </wp:positionV>
            <wp:extent cx="7132320" cy="1111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-2675890</wp:posOffset>
            </wp:positionV>
            <wp:extent cx="7132320"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-2453005</wp:posOffset>
            </wp:positionV>
            <wp:extent cx="7132320" cy="1117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-2230120</wp:posOffset>
            </wp:positionV>
            <wp:extent cx="7132320" cy="1117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-2007870</wp:posOffset>
            </wp:positionV>
            <wp:extent cx="7132320" cy="1117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-1784985</wp:posOffset>
            </wp:positionV>
            <wp:extent cx="7132320" cy="1117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-1561465</wp:posOffset>
            </wp:positionV>
            <wp:extent cx="7132320" cy="1111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-1338580</wp:posOffset>
            </wp:positionV>
            <wp:extent cx="713232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-1115695</wp:posOffset>
            </wp:positionV>
            <wp:extent cx="713232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-893445</wp:posOffset>
            </wp:positionV>
            <wp:extent cx="7132320" cy="1111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7132320" cy="1111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111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11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7" w:type="dxa"/>
        <w:tblCellMar>
          <w:top w:w="0" w:type="dxa"/>
          <w:left w:w="0" w:type="dxa"/>
          <w:bottom w:w="0" w:type="dxa"/>
          <w:right w:w="0" w:type="dxa"/>
        </w:tblCellMar>
      </w:tblPr>
      <w:tr>
        <w:trPr>
          <w:trHeight w:val="160"/>
        </w:trPr>
        <w:tc>
          <w:tcPr>
            <w:tcW w:w="140" w:type="dxa"/>
            <w:vAlign w:val="bottom"/>
          </w:tcPr>
          <w:p>
            <w:pPr>
              <w:spacing w:after="0"/>
              <w:rPr>
                <w:sz w:val="13"/>
                <w:szCs w:val="13"/>
                <w:color w:val="auto"/>
              </w:rPr>
            </w:pPr>
          </w:p>
        </w:tc>
        <w:tc>
          <w:tcPr>
            <w:tcW w:w="1440" w:type="dxa"/>
            <w:vAlign w:val="bottom"/>
            <w:tcBorders>
              <w:top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99.999%</w:t>
            </w:r>
          </w:p>
        </w:tc>
        <w:tc>
          <w:tcPr>
            <w:tcW w:w="0" w:type="dxa"/>
            <w:vAlign w:val="bottom"/>
          </w:tcPr>
          <w:p>
            <w:pPr>
              <w:spacing w:after="0"/>
              <w:rPr>
                <w:sz w:val="1"/>
                <w:szCs w:val="1"/>
                <w:color w:val="auto"/>
              </w:rPr>
            </w:pPr>
          </w:p>
        </w:tc>
      </w:tr>
      <w:tr>
        <w:trPr>
          <w:trHeight w:val="175"/>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140" w:type="dxa"/>
            <w:vAlign w:val="bottom"/>
            <w:vMerge w:val="continue"/>
          </w:tcPr>
          <w:p>
            <w:pPr>
              <w:spacing w:after="0"/>
              <w:rPr>
                <w:sz w:val="6"/>
                <w:szCs w:val="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99.999%</w:t>
            </w:r>
          </w:p>
        </w:tc>
        <w:tc>
          <w:tcPr>
            <w:tcW w:w="0" w:type="dxa"/>
            <w:vAlign w:val="bottom"/>
          </w:tcPr>
          <w:p>
            <w:pPr>
              <w:spacing w:after="0"/>
              <w:rPr>
                <w:sz w:val="1"/>
                <w:szCs w:val="1"/>
                <w:color w:val="auto"/>
              </w:rPr>
            </w:pPr>
          </w:p>
        </w:tc>
      </w:tr>
      <w:tr>
        <w:trPr>
          <w:trHeight w:val="175"/>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78"/>
        </w:trPr>
        <w:tc>
          <w:tcPr>
            <w:tcW w:w="140" w:type="dxa"/>
            <w:vAlign w:val="bottom"/>
            <w:vMerge w:val="continue"/>
          </w:tcPr>
          <w:p>
            <w:pPr>
              <w:spacing w:after="0"/>
              <w:rPr>
                <w:sz w:val="6"/>
                <w:szCs w:val="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140" w:type="dxa"/>
            <w:vAlign w:val="bottom"/>
            <w:vMerge w:val="continue"/>
          </w:tcPr>
          <w:p>
            <w:pPr>
              <w:spacing w:after="0"/>
              <w:rPr>
                <w:sz w:val="6"/>
                <w:szCs w:val="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1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140" w:type="dxa"/>
            <w:vAlign w:val="bottom"/>
            <w:vMerge w:val="continue"/>
          </w:tcPr>
          <w:p>
            <w:pPr>
              <w:spacing w:after="0"/>
              <w:rPr>
                <w:sz w:val="6"/>
                <w:szCs w:val="6"/>
                <w:color w:val="auto"/>
              </w:rPr>
            </w:pPr>
          </w:p>
        </w:tc>
        <w:tc>
          <w:tcPr>
            <w:tcW w:w="14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62"/>
        </w:trPr>
        <w:tc>
          <w:tcPr>
            <w:tcW w:w="14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867" w:hanging="842"/>
        <w:spacing w:after="0" w:line="180" w:lineRule="auto"/>
        <w:tabs>
          <w:tab w:leader="none" w:pos="867"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26"/>
          <w:szCs w:val="26"/>
          <w:color w:val="auto"/>
          <w:vertAlign w:val="subscript"/>
        </w:rPr>
        <w:t>-</w:t>
      </w:r>
    </w:p>
    <w:tbl>
      <w:tblPr>
        <w:tblLayout w:type="fixed"/>
        <w:tblInd w:w="27" w:type="dxa"/>
        <w:tblCellMar>
          <w:top w:w="0" w:type="dxa"/>
          <w:left w:w="0" w:type="dxa"/>
          <w:bottom w:w="0" w:type="dxa"/>
          <w:right w:w="0" w:type="dxa"/>
        </w:tblCellMar>
      </w:tblPr>
      <w:tr>
        <w:trPr>
          <w:trHeight w:val="163"/>
        </w:trPr>
        <w:tc>
          <w:tcPr>
            <w:tcW w:w="400" w:type="dxa"/>
            <w:vAlign w:val="bottom"/>
          </w:tcPr>
          <w:p>
            <w:pPr>
              <w:spacing w:after="0"/>
              <w:rPr>
                <w:sz w:val="14"/>
                <w:szCs w:val="14"/>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(3)</w:t>
            </w: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(4)</w:t>
            </w: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98"/>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(4)</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98"/>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(3)</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(3)</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75"/>
        </w:trPr>
        <w:tc>
          <w:tcPr>
            <w:tcW w:w="4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color w:val="auto"/>
                <w:w w:val="85"/>
              </w:rPr>
              <w:t>(3)</w:t>
            </w:r>
          </w:p>
        </w:tc>
        <w:tc>
          <w:tcPr>
            <w:tcW w:w="66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400" w:type="dxa"/>
            <w:vAlign w:val="bottom"/>
            <w:vMerge w:val="continue"/>
          </w:tcPr>
          <w:p>
            <w:pPr>
              <w:spacing w:after="0"/>
              <w:rPr>
                <w:sz w:val="6"/>
                <w:szCs w:val="6"/>
                <w:color w:val="auto"/>
              </w:rPr>
            </w:pPr>
          </w:p>
        </w:tc>
        <w:tc>
          <w:tcPr>
            <w:tcW w:w="660" w:type="dxa"/>
            <w:vAlign w:val="bottom"/>
            <w:vMerge w:val="restart"/>
          </w:tcPr>
          <w:p>
            <w:pPr>
              <w:jc w:val="center"/>
              <w:ind w:left="188"/>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62"/>
        </w:trPr>
        <w:tc>
          <w:tcPr>
            <w:tcW w:w="4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867" w:hanging="842"/>
        <w:spacing w:after="0" w:line="192" w:lineRule="auto"/>
        <w:tabs>
          <w:tab w:leader="none" w:pos="867" w:val="left"/>
        </w:tabs>
        <w:numPr>
          <w:ilvl w:val="1"/>
          <w:numId w:val="20"/>
        </w:numPr>
        <w:rPr>
          <w:rFonts w:ascii="Times New Roman" w:cs="Times New Roman" w:eastAsia="Times New Roman" w:hAnsi="Times New Roman"/>
          <w:sz w:val="8"/>
          <w:szCs w:val="8"/>
          <w:color w:val="auto"/>
        </w:rPr>
      </w:pPr>
      <w:r>
        <w:rPr>
          <w:rFonts w:ascii="Times New Roman" w:cs="Times New Roman" w:eastAsia="Times New Roman" w:hAnsi="Times New Roman"/>
          <w:sz w:val="19"/>
          <w:szCs w:val="19"/>
          <w:color w:val="auto"/>
          <w:vertAlign w:val="subscript"/>
        </w:rPr>
        <w:t>-</w:t>
      </w:r>
    </w:p>
    <w:p>
      <w:pPr>
        <w:ind w:left="867" w:hanging="867"/>
        <w:spacing w:after="0" w:line="180" w:lineRule="auto"/>
        <w:tabs>
          <w:tab w:leader="none" w:pos="867"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26"/>
          <w:szCs w:val="26"/>
          <w:color w:val="auto"/>
          <w:vertAlign w:val="subscript"/>
        </w:rPr>
        <w:t>-</w:t>
      </w:r>
    </w:p>
    <w:p>
      <w:pPr>
        <w:jc w:val="center"/>
        <w:ind w:right="-166"/>
        <w:spacing w:after="0"/>
        <w:rPr>
          <w:sz w:val="20"/>
          <w:szCs w:val="20"/>
          <w:color w:val="auto"/>
        </w:rPr>
      </w:pPr>
      <w:r>
        <w:rPr>
          <w:rFonts w:ascii="Times New Roman" w:cs="Times New Roman" w:eastAsia="Times New Roman" w:hAnsi="Times New Roman"/>
          <w:sz w:val="14"/>
          <w:szCs w:val="14"/>
          <w:color w:val="auto"/>
        </w:rPr>
        <w:t>99%</w:t>
      </w:r>
    </w:p>
    <w:p>
      <w:pPr>
        <w:spacing w:after="0" w:line="15" w:lineRule="exact"/>
        <w:rPr>
          <w:sz w:val="20"/>
          <w:szCs w:val="20"/>
          <w:color w:val="auto"/>
        </w:rPr>
      </w:pPr>
    </w:p>
    <w:p>
      <w:pPr>
        <w:jc w:val="center"/>
        <w:ind w:right="-166"/>
        <w:spacing w:after="0"/>
        <w:rPr>
          <w:sz w:val="20"/>
          <w:szCs w:val="20"/>
          <w:color w:val="auto"/>
        </w:rPr>
      </w:pPr>
      <w:r>
        <w:rPr>
          <w:rFonts w:ascii="Times New Roman" w:cs="Times New Roman" w:eastAsia="Times New Roman" w:hAnsi="Times New Roman"/>
          <w:sz w:val="14"/>
          <w:szCs w:val="14"/>
          <w:color w:val="auto"/>
        </w:rPr>
        <w:t>99.99%</w:t>
      </w:r>
    </w:p>
    <w:p>
      <w:pPr>
        <w:sectPr>
          <w:pgSz w:w="11900" w:h="16838" w:orient="portrait"/>
          <w:cols w:equalWidth="0" w:num="2">
            <w:col w:w="9620" w:space="13"/>
            <w:col w:w="1607"/>
          </w:cols>
          <w:pgMar w:left="320" w:top="117"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Guisol Solutions Private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7"/>
              </w:rPr>
              <w:t>India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PT Dlocal Solutions Indonesia</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Indonesia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Israel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Israel</w:t>
            </w:r>
          </w:p>
        </w:tc>
        <w:tc>
          <w:tcPr>
            <w:tcW w:w="1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Service provider</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SARL</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Ivory Coast</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Demerge Japan Ltd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Japan</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9"/>
              </w:rPr>
              <w:t>66.6%</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Payments Kenya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8"/>
              </w:rPr>
              <w:t>Kenya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Depansum Malaysia SDN. BHD.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Malaysia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100.0%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Demerge Mexico S.A. de C.V.</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Mexico</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99.999%</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Mexico S.A. DE C.V.</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Mexico</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99.999%</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Technologies Mexico S.A. DE C.V.</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Mexico</w:t>
            </w:r>
          </w:p>
        </w:tc>
        <w:tc>
          <w:tcPr>
            <w:tcW w:w="1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Service provider</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Morocco SARL AU</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Morocco</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Demerge Nigeria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Nigeria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Panama S.A.</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9"/>
              </w:rPr>
              <w:t>Panama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Paraguay S.A.</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9"/>
              </w:rPr>
              <w:t>Paraguay</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Demerge Peru S.A.C.</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Peru</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99%</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Demerge República Dominicana SAS</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República Dominicana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99.99%</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Rwanda Ltd.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Rwanda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Depansum PTY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South Africa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DLP South Africa PTY Ltd.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South Africa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56"/>
        </w:trPr>
        <w:tc>
          <w:tcPr>
            <w:tcW w:w="35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Dlocal Tanzania LTD</w:t>
            </w:r>
          </w:p>
        </w:tc>
        <w:tc>
          <w:tcPr>
            <w:tcW w:w="2920" w:type="dxa"/>
            <w:vAlign w:val="bottom"/>
          </w:tcPr>
          <w:p>
            <w:pPr>
              <w:jc w:val="center"/>
              <w:ind w:left="568"/>
              <w:spacing w:after="0" w:line="157" w:lineRule="exact"/>
              <w:rPr>
                <w:sz w:val="20"/>
                <w:szCs w:val="20"/>
                <w:color w:val="auto"/>
              </w:rPr>
            </w:pPr>
            <w:r>
              <w:rPr>
                <w:rFonts w:ascii="Times New Roman" w:cs="Times New Roman" w:eastAsia="Times New Roman" w:hAnsi="Times New Roman"/>
                <w:sz w:val="14"/>
                <w:szCs w:val="14"/>
                <w:color w:val="auto"/>
              </w:rPr>
              <w:t>Tanzania</w:t>
            </w:r>
          </w:p>
        </w:tc>
        <w:tc>
          <w:tcPr>
            <w:tcW w:w="1840" w:type="dxa"/>
            <w:vAlign w:val="bottom"/>
          </w:tcPr>
          <w:p>
            <w:pPr>
              <w:ind w:left="420"/>
              <w:spacing w:after="0" w:line="157" w:lineRule="exact"/>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line="157" w:lineRule="exact"/>
              <w:rPr>
                <w:sz w:val="20"/>
                <w:szCs w:val="20"/>
                <w:color w:val="auto"/>
              </w:rPr>
            </w:pPr>
            <w:r>
              <w:rPr>
                <w:rFonts w:ascii="Times New Roman" w:cs="Times New Roman" w:eastAsia="Times New Roman" w:hAnsi="Times New Roman"/>
                <w:sz w:val="14"/>
                <w:szCs w:val="14"/>
                <w:color w:val="auto"/>
                <w:w w:val="97"/>
              </w:rPr>
              <w:t>100%</w:t>
            </w:r>
          </w:p>
        </w:tc>
      </w:tr>
      <w:tr>
        <w:trPr>
          <w:trHeight w:val="195"/>
        </w:trPr>
        <w:tc>
          <w:tcPr>
            <w:tcW w:w="352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 xml:space="preserve">Demerge (Thailand) Co. LTD </w:t>
            </w:r>
            <w:r>
              <w:rPr>
                <w:rFonts w:ascii="Times New Roman" w:cs="Times New Roman" w:eastAsia="Times New Roman" w:hAnsi="Times New Roman"/>
                <w:sz w:val="19"/>
                <w:szCs w:val="19"/>
                <w:color w:val="auto"/>
                <w:vertAlign w:val="superscript"/>
              </w:rPr>
              <w:t>(2)</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Thailand</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49%</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Uganda LTD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Uganda</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5"/>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Payment Services L.L.C.</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United Arab Emirates</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US LLC</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United States of America</w:t>
            </w:r>
          </w:p>
        </w:tc>
        <w:tc>
          <w:tcPr>
            <w:tcW w:w="1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Service provider</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CILFUR S.A.</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Uruguay</w:t>
            </w:r>
          </w:p>
        </w:tc>
        <w:tc>
          <w:tcPr>
            <w:tcW w:w="1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Service provider</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Dlocal Vietnam Company Limited</w:t>
            </w:r>
          </w:p>
        </w:tc>
        <w:tc>
          <w:tcPr>
            <w:tcW w:w="292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w w:val="99"/>
              </w:rPr>
              <w:t>Vietnam</w:t>
            </w:r>
          </w:p>
        </w:tc>
        <w:tc>
          <w:tcPr>
            <w:tcW w:w="18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Collection agent</w:t>
            </w:r>
          </w:p>
        </w:tc>
        <w:tc>
          <w:tcPr>
            <w:tcW w:w="100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w w:val="97"/>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-2898775</wp:posOffset>
            </wp:positionV>
            <wp:extent cx="7132320" cy="111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-2675890</wp:posOffset>
            </wp:positionV>
            <wp:extent cx="7132320" cy="1117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-2453005</wp:posOffset>
            </wp:positionV>
            <wp:extent cx="7132320" cy="1117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-2230120</wp:posOffset>
            </wp:positionV>
            <wp:extent cx="7132320" cy="1117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-2007235</wp:posOffset>
            </wp:positionV>
            <wp:extent cx="7132320" cy="111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-1784350</wp:posOffset>
            </wp:positionV>
            <wp:extent cx="7132320" cy="1111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-1561465</wp:posOffset>
            </wp:positionV>
            <wp:extent cx="7132320" cy="1111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-1338580</wp:posOffset>
            </wp:positionV>
            <wp:extent cx="7132320" cy="1117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-1115695</wp:posOffset>
            </wp:positionV>
            <wp:extent cx="7132320" cy="1117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-893445</wp:posOffset>
            </wp:positionV>
            <wp:extent cx="7132320" cy="1117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-669925</wp:posOffset>
            </wp:positionV>
            <wp:extent cx="7132320" cy="1111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1111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-224155</wp:posOffset>
            </wp:positionV>
            <wp:extent cx="7132320" cy="111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60" w:type="dxa"/>
            <w:vAlign w:val="bottom"/>
          </w:tcPr>
          <w:p>
            <w:pPr>
              <w:spacing w:after="0"/>
              <w:rPr>
                <w:sz w:val="15"/>
                <w:szCs w:val="15"/>
                <w:color w:val="auto"/>
              </w:rPr>
            </w:pP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99.999%</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99.999%</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99.99%</w:t>
            </w: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98"/>
        </w:trPr>
        <w:tc>
          <w:tcPr>
            <w:tcW w:w="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w w:val="85"/>
              </w:rPr>
              <w:t>(3)</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7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10"/>
        </w:trPr>
        <w:tc>
          <w:tcPr>
            <w:tcW w:w="3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ectPr>
          <w:pgSz w:w="11900" w:h="16838" w:orient="portrait"/>
          <w:cols w:equalWidth="0" w:num="2">
            <w:col w:w="9280" w:space="360"/>
            <w:col w:w="1500"/>
          </w:cols>
          <w:pgMar w:left="340" w:top="130" w:right="419" w:bottom="1440" w:gutter="0" w:footer="0" w:header="0"/>
        </w:sectPr>
      </w:pPr>
    </w:p>
    <w:p>
      <w:pPr>
        <w:ind w:left="240" w:hanging="239"/>
        <w:spacing w:after="0"/>
        <w:tabs>
          <w:tab w:leader="none" w:pos="2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Although Dlocal was the owner of 0.15% of Demerege Ecuador S.A., the Group controls its operations according to the guidelines in IFRS 10. On July</w:t>
      </w:r>
    </w:p>
    <w:p>
      <w:pPr>
        <w:ind w:left="240" w:hanging="239"/>
        <w:spacing w:after="0" w:line="183" w:lineRule="auto"/>
        <w:tabs>
          <w:tab w:leader="none" w:pos="240" w:val="left"/>
        </w:tabs>
        <w:numPr>
          <w:ilvl w:val="0"/>
          <w:numId w:val="22"/>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7"/>
          <w:szCs w:val="17"/>
          <w:color w:val="auto"/>
        </w:rPr>
        <w:t>1, 2022, Dlocal acquired the remaining 99.85%.</w:t>
      </w:r>
    </w:p>
    <w:p>
      <w:pPr>
        <w:ind w:left="260" w:hanging="259"/>
        <w:spacing w:after="0" w:line="183" w:lineRule="auto"/>
        <w:tabs>
          <w:tab w:leader="none" w:pos="260" w:val="left"/>
        </w:tabs>
        <w:numPr>
          <w:ilvl w:val="0"/>
          <w:numId w:val="22"/>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7"/>
          <w:szCs w:val="17"/>
          <w:color w:val="auto"/>
        </w:rPr>
        <w:t>Although Dlocal is the owner of 49% of Demerge (Thailand) Co. LTD, the Group controls its operations according to the guidelines in IFRS 10.</w:t>
      </w:r>
    </w:p>
    <w:p>
      <w:pPr>
        <w:ind w:left="280" w:right="200" w:hanging="279"/>
        <w:spacing w:after="0" w:line="207" w:lineRule="auto"/>
        <w:tabs>
          <w:tab w:leader="none" w:pos="268" w:val="left"/>
        </w:tabs>
        <w:numPr>
          <w:ilvl w:val="0"/>
          <w:numId w:val="2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8"/>
          <w:szCs w:val="18"/>
          <w:color w:val="auto"/>
        </w:rPr>
        <w:t>The Group has determined that the acquisition or incorporation of these subsidiaries during 2022 does not constitute a business according to IFRS 3. The subsidiary was liquidated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587375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30" w:right="419" w:bottom="1440" w:gutter="0" w:footer="0" w:header="0"/>
          <w:type w:val="continuous"/>
        </w:sectPr>
      </w:pPr>
    </w:p>
    <w:bookmarkStart w:id="26" w:name="page27"/>
    <w:bookmarkEnd w:id="26"/>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Segment reporting</w:t>
      </w:r>
    </w:p>
    <w:p>
      <w:pPr>
        <w:spacing w:after="0" w:line="108"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231F20"/>
        </w:rPr>
        <w:t>The Group operates in a single operating segment, which is “payment processing”. Operating segments are defined as components of an enterprise for which separate financial information is regularly evaluated by the chief operating decision maker, who in the Group’s case is the Executive Team, in deciding how to allocate resources and assess performance. The Executive Team is composed of the Chief Executive Officer (“CEO”), the Chief Operating Officer (“COO”), the Chief Financial Officer (“CFO”) and the President of Dlocal Limited.</w:t>
      </w:r>
    </w:p>
    <w:p>
      <w:pPr>
        <w:spacing w:after="0" w:line="166"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231F20"/>
        </w:rPr>
        <w:t>The Executive Team evaluates the Group’s financial information and resources and assesses the financial performance of these resources on a consolidated basis on the basis of Revenues, Adjusted EBITDA and Adjusted EBITDA margin as further described below.</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231F20"/>
        </w:rPr>
        <w:t>The Group’s revenue, results and assets for this one reportable segment can be determined by reference to the Consolidated Condensed Statement of Comprehensive Income and Consolidated Condensed Statement of Financial Position.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required by IFRS 8 Operating Segments, below are presented applicable entity-wide disclosures related to dLocal’s revenues.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Revenue breakdown by region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Group’s revenues arise from operations in 39 countries, where the merchants´ customers are based.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Based on the region where payments from/to such customers are processed this is the revenue breakdown: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5"/>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660" w:type="dxa"/>
            <w:vAlign w:val="bottom"/>
          </w:tcPr>
          <w:p>
            <w:pPr>
              <w:spacing w:after="0"/>
              <w:rPr>
                <w:sz w:val="14"/>
                <w:szCs w:val="14"/>
                <w:color w:val="auto"/>
              </w:rPr>
            </w:pPr>
          </w:p>
        </w:tc>
        <w:tc>
          <w:tcPr>
            <w:tcW w:w="960" w:type="dxa"/>
            <w:vAlign w:val="bottom"/>
          </w:tcPr>
          <w:p>
            <w:pPr>
              <w:jc w:val="right"/>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YoY%</w:t>
            </w:r>
          </w:p>
        </w:tc>
        <w:tc>
          <w:tcPr>
            <w:tcW w:w="100" w:type="dxa"/>
            <w:vAlign w:val="bottom"/>
          </w:tcPr>
          <w:p>
            <w:pPr>
              <w:spacing w:after="0"/>
              <w:rPr>
                <w:sz w:val="14"/>
                <w:szCs w:val="14"/>
                <w:color w:val="auto"/>
              </w:rPr>
            </w:pPr>
          </w:p>
        </w:tc>
        <w:tc>
          <w:tcPr>
            <w:tcW w:w="100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20" w:type="dxa"/>
            <w:vAlign w:val="bottom"/>
          </w:tcPr>
          <w:p>
            <w:pPr>
              <w:spacing w:after="0"/>
              <w:rPr>
                <w:sz w:val="14"/>
                <w:szCs w:val="14"/>
                <w:color w:val="auto"/>
              </w:rPr>
            </w:pPr>
          </w:p>
        </w:tc>
        <w:tc>
          <w:tcPr>
            <w:tcW w:w="1280" w:type="dxa"/>
            <w:vAlign w:val="bottom"/>
            <w:gridSpan w:val="3"/>
          </w:tcPr>
          <w:p>
            <w:pPr>
              <w:jc w:val="center"/>
              <w:ind w:right="340"/>
              <w:spacing w:after="0" w:line="165"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YoY%</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2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30, 2021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LatAm</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252,507</w:t>
            </w: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152,239</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87,329</w:t>
            </w: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62,684</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Asia and Africa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15,624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3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300,497</w:t>
            </w:r>
          </w:p>
        </w:tc>
        <w:tc>
          <w:tcPr>
            <w:tcW w:w="6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167,863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79.0%</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111,864</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68,646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-25400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Revenue with large customers</w:t>
      </w:r>
    </w:p>
    <w:p>
      <w:pPr>
        <w:spacing w:after="0" w:line="24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231F20"/>
        </w:rPr>
        <w:t xml:space="preserve">During the nine months ended September 30, 2022 the Group operated with </w:t>
      </w:r>
      <w:r>
        <w:rPr>
          <w:rFonts w:ascii="Times New Roman" w:cs="Times New Roman" w:eastAsia="Times New Roman" w:hAnsi="Times New Roman"/>
          <w:sz w:val="18"/>
          <w:szCs w:val="18"/>
          <w:color w:val="000000"/>
        </w:rPr>
        <w:t>more than 600 merchants, excluding merchants from DLocal Go &amp;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Marketplaces </w:t>
      </w:r>
      <w:r>
        <w:rPr>
          <w:rFonts w:ascii="Times New Roman" w:cs="Times New Roman" w:eastAsia="Times New Roman" w:hAnsi="Times New Roman"/>
          <w:sz w:val="18"/>
          <w:szCs w:val="18"/>
          <w:color w:val="231F20"/>
        </w:rPr>
        <w:t>(more than 400 merchants in the nine months ended September 30, 2021).</w:t>
      </w:r>
    </w:p>
    <w:p>
      <w:pPr>
        <w:spacing w:after="0" w:line="162"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231F20"/>
        </w:rPr>
        <w:t>For the nine months ended September 30, 2022, the Group’s revenue from its top 10 merchants represented 52% of revenue (60% of revenue for the nine months ended September 30, 2021). For the nine months ended September 30, 2022 there are no customers (two for the nine months ended September 30, 2021) that on an individual level accounted for more than 10% of the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231F20"/>
        </w:rPr>
        <w:t>Adjusted EBITDA and Adjusted EBITDA Margin</w:t>
      </w:r>
    </w:p>
    <w:p>
      <w:pPr>
        <w:spacing w:after="0" w:line="119"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8"/>
          <w:szCs w:val="18"/>
          <w:color w:val="231F20"/>
        </w:rPr>
        <w:t>The Executive Team assesses the financial performance of the Group’s sole segment by Revenues, Adjusted EBITDA and Adjusted EBITDA Margin. The Adjusted EBITDA is defined as the consolidated profit from operations before financing and taxation for the year or period, as applicable, before depreciation of property, plant and equipment, amortization of right-of-use assets and intangible assets, and further excluding the changes in fair value of financial assets and derivative financial instruments carried at fair value through profit or loss, impairment gain/loss on financial assets, transaction costs, share-based payment non-cash charges, secondary offering expenses and inflation adjustment. The Group defines Adjusted EBITDA Margin as the Adjusted EBITDA divided by consolidated revenues.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Group reconciles the segment’s performance measure to profit for the period as presented in the Consolidated Condensed Interim Statements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Comprehensive Income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8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52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5"/>
        </w:trPr>
        <w:tc>
          <w:tcPr>
            <w:tcW w:w="4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20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2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12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4680" w:type="dxa"/>
            <w:vAlign w:val="bottom"/>
          </w:tcPr>
          <w:p>
            <w:pPr>
              <w:spacing w:after="0"/>
              <w:rPr>
                <w:sz w:val="17"/>
                <w:szCs w:val="17"/>
                <w:color w:val="auto"/>
              </w:rPr>
            </w:pPr>
          </w:p>
        </w:tc>
        <w:tc>
          <w:tcPr>
            <w:tcW w:w="134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89,333</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54,304</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32,338</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19,669</w:t>
            </w: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34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2,558</w:t>
            </w: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Inflation adjustment</w:t>
            </w:r>
          </w:p>
        </w:tc>
        <w:tc>
          <w:tcPr>
            <w:tcW w:w="1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charges on leases</w:t>
            </w:r>
          </w:p>
        </w:tc>
        <w:tc>
          <w:tcPr>
            <w:tcW w:w="1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from financial assets at FVPL</w:t>
            </w:r>
          </w:p>
        </w:tc>
        <w:tc>
          <w:tcPr>
            <w:tcW w:w="1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losses on financial assets at FVPL</w:t>
            </w:r>
          </w:p>
        </w:tc>
        <w:tc>
          <w:tcPr>
            <w:tcW w:w="1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operating loss / (gain)</w:t>
            </w:r>
          </w:p>
        </w:tc>
        <w:tc>
          <w:tcPr>
            <w:tcW w:w="1340" w:type="dxa"/>
            <w:vAlign w:val="bottom"/>
            <w:shd w:val="clear" w:color="auto" w:fill="CFF0FC"/>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finance expense</w:t>
            </w:r>
          </w:p>
        </w:tc>
        <w:tc>
          <w:tcPr>
            <w:tcW w:w="1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Impairment (gain) / loss on financial assets</w:t>
            </w:r>
          </w:p>
        </w:tc>
        <w:tc>
          <w:tcPr>
            <w:tcW w:w="1340" w:type="dxa"/>
            <w:vAlign w:val="bottom"/>
            <w:shd w:val="clear" w:color="auto" w:fill="CFF0FC"/>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14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10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w:t>
            </w:r>
          </w:p>
        </w:tc>
      </w:tr>
      <w:tr>
        <w:trPr>
          <w:trHeight w:val="20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Secondary offering expenses (i)</w:t>
            </w:r>
          </w:p>
        </w:tc>
        <w:tc>
          <w:tcPr>
            <w:tcW w:w="1340" w:type="dxa"/>
            <w:vAlign w:val="bottom"/>
            <w:shd w:val="clear" w:color="auto" w:fill="CFF0FC"/>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0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costs (ii)</w:t>
            </w:r>
          </w:p>
        </w:tc>
        <w:tc>
          <w:tcPr>
            <w:tcW w:w="134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 non-cash charges, net of forfeitures</w:t>
            </w:r>
          </w:p>
        </w:tc>
        <w:tc>
          <w:tcPr>
            <w:tcW w:w="1340" w:type="dxa"/>
            <w:vAlign w:val="bottom"/>
            <w:tcBorders>
              <w:bottom w:val="single" w:sz="8" w:color="CFF0FC"/>
            </w:tcBorders>
            <w:shd w:val="clear" w:color="auto" w:fill="CFF0FC"/>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70,085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41,622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26,319</w:t>
            </w:r>
          </w:p>
        </w:tc>
      </w:tr>
      <w:tr>
        <w:trPr>
          <w:trHeight w:val="196"/>
        </w:trPr>
        <w:tc>
          <w:tcPr>
            <w:tcW w:w="4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r>
      <w:tr>
        <w:trPr>
          <w:trHeight w:val="19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40" w:type="dxa"/>
            <w:vAlign w:val="bottom"/>
            <w:tcBorders>
              <w:bottom w:val="single" w:sz="8" w:color="CFF0FC"/>
            </w:tcBorders>
            <w:shd w:val="clear" w:color="auto" w:fill="CFF0FC"/>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300,497</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167,863</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111,864</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68,646</w:t>
            </w:r>
          </w:p>
        </w:tc>
      </w:tr>
      <w:tr>
        <w:trPr>
          <w:trHeight w:val="19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70,085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41,622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26,319</w:t>
            </w:r>
          </w:p>
        </w:tc>
      </w:tr>
      <w:tr>
        <w:trPr>
          <w:trHeight w:val="19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3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37.5%</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37.2%</w:t>
            </w:r>
          </w:p>
        </w:tc>
        <w:tc>
          <w:tcPr>
            <w:tcW w:w="1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-2245360</wp:posOffset>
            </wp:positionV>
            <wp:extent cx="6858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-2245360</wp:posOffset>
            </wp:positionV>
            <wp:extent cx="7747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-2245360</wp:posOffset>
            </wp:positionV>
            <wp:extent cx="7683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-693420</wp:posOffset>
            </wp:positionV>
            <wp:extent cx="68580" cy="282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-693420</wp:posOffset>
            </wp:positionV>
            <wp:extent cx="77470" cy="282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28257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-693420</wp:posOffset>
            </wp:positionV>
            <wp:extent cx="76835" cy="282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-282575</wp:posOffset>
            </wp:positionV>
            <wp:extent cx="6858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-282575</wp:posOffset>
            </wp:positionV>
            <wp:extent cx="7747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-282575</wp:posOffset>
            </wp:positionV>
            <wp:extent cx="76835"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32" w:lineRule="exact"/>
        <w:rPr>
          <w:sz w:val="20"/>
          <w:szCs w:val="20"/>
          <w:color w:val="auto"/>
        </w:rPr>
      </w:pPr>
    </w:p>
    <w:p>
      <w:pPr>
        <w:ind w:left="600" w:hanging="530"/>
        <w:spacing w:after="0"/>
        <w:tabs>
          <w:tab w:leader="none" w:pos="6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Corresponds to expenses assumed by dLocal in relation to the secondary offering of its shares occurred in 2021.</w:t>
      </w:r>
    </w:p>
    <w:p>
      <w:pPr>
        <w:spacing w:after="0" w:line="36" w:lineRule="exact"/>
        <w:rPr>
          <w:rFonts w:ascii="Times New Roman" w:cs="Times New Roman" w:eastAsia="Times New Roman" w:hAnsi="Times New Roman"/>
          <w:sz w:val="18"/>
          <w:szCs w:val="18"/>
          <w:color w:val="231F20"/>
        </w:rPr>
      </w:pPr>
    </w:p>
    <w:p>
      <w:pPr>
        <w:ind w:left="600" w:right="160" w:hanging="530"/>
        <w:spacing w:after="0" w:line="266" w:lineRule="auto"/>
        <w:tabs>
          <w:tab w:leader="none" w:pos="6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Corresponds to costs related to the acquisition of assets of Primeiropay as more fully explained in Note 20 to the Annual Financial Statements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6" w:right="339" w:bottom="1440" w:gutter="0" w:footer="0" w:header="0"/>
        </w:sectPr>
      </w:pPr>
    </w:p>
    <w:bookmarkStart w:id="28" w:name="page29"/>
    <w:bookmarkEnd w:id="28"/>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Revenues and Cost of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  Revenue and Gross profit description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dLocal derives revenue from processing payments for international merchants to enable them to operate in selected emerging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breakdown of revenue from contracts with customers per type of service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64"/>
        </w:trPr>
        <w:tc>
          <w:tcPr>
            <w:tcW w:w="582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8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 revenues (i)</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278,771</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162,078</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97,336</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66,430</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 (ii)</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2,216</w:t>
            </w:r>
          </w:p>
        </w:tc>
      </w:tr>
      <w:tr>
        <w:trPr>
          <w:trHeight w:val="19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from payment processing (iii)</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300,497</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167,863</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111,864</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68,646</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(57,992)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(34,202)</w:t>
            </w:r>
          </w:p>
        </w:tc>
      </w:tr>
      <w:tr>
        <w:trPr>
          <w:trHeight w:val="20"/>
        </w:trPr>
        <w:tc>
          <w:tcPr>
            <w:tcW w:w="5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147,065</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91,502</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53,872</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-316230</wp:posOffset>
            </wp:positionV>
            <wp:extent cx="85725"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-316230</wp:posOffset>
            </wp:positionV>
            <wp:extent cx="85725"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-316230</wp:posOffset>
            </wp:positionV>
            <wp:extent cx="85725"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32" w:lineRule="exact"/>
        <w:rPr>
          <w:sz w:val="20"/>
          <w:szCs w:val="20"/>
          <w:color w:val="auto"/>
        </w:rPr>
      </w:pPr>
    </w:p>
    <w:p>
      <w:pPr>
        <w:jc w:val="both"/>
        <w:ind w:left="440" w:right="340" w:hanging="363"/>
        <w:spacing w:after="0" w:line="260" w:lineRule="auto"/>
        <w:tabs>
          <w:tab w:leader="none" w:pos="4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Transaction revenues are comprised of transaction fees, defined either as percentage of the transaction value or a fixed amount per transaction, as well as foreign exchange service fee, usually established as a percentage of the transaction value. These fees are recognized as revenue at a point in time when a payment transaction has been processed.</w:t>
      </w:r>
    </w:p>
    <w:p>
      <w:pPr>
        <w:spacing w:after="0" w:line="2" w:lineRule="exact"/>
        <w:rPr>
          <w:rFonts w:ascii="Times New Roman" w:cs="Times New Roman" w:eastAsia="Times New Roman" w:hAnsi="Times New Roman"/>
          <w:sz w:val="18"/>
          <w:szCs w:val="18"/>
          <w:color w:val="231F20"/>
        </w:rPr>
      </w:pPr>
    </w:p>
    <w:p>
      <w:pPr>
        <w:ind w:left="440" w:right="400" w:hanging="363"/>
        <w:spacing w:after="0" w:line="273" w:lineRule="auto"/>
        <w:tabs>
          <w:tab w:leader="none" w:pos="4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revenues are mainly comprised of minor fees, such as initial setup fees, installment fee, minimum monthly fees, chargebacks fees, refunds fees, invoicing processing service fees and small transfer fees.</w:t>
      </w:r>
    </w:p>
    <w:p>
      <w:pPr>
        <w:spacing w:after="0" w:line="1" w:lineRule="exact"/>
        <w:rPr>
          <w:rFonts w:ascii="Times New Roman" w:cs="Times New Roman" w:eastAsia="Times New Roman" w:hAnsi="Times New Roman"/>
          <w:sz w:val="18"/>
          <w:szCs w:val="18"/>
          <w:color w:val="231F20"/>
        </w:rPr>
      </w:pPr>
    </w:p>
    <w:p>
      <w:pPr>
        <w:ind w:left="440" w:right="560" w:hanging="363"/>
        <w:spacing w:after="0" w:line="255" w:lineRule="auto"/>
        <w:tabs>
          <w:tab w:leader="none" w:pos="44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nine months ended September 30, 2022 revenues include an amortization charge of USD 457 (USD 150 for the nine months ended September 30, 2021) related to prepaid assets, as detailed in Note 15: Other assets. For the three months ended September 30, 2022 revenues include an amortization charge of USD 246 (USD 357 for the three months ended September 30, 2021) related to prepaid assets, as detailed in Note 15: Other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  Revenue recognized at a point in time and over time</w:t>
      </w:r>
    </w:p>
    <w:p>
      <w:pPr>
        <w:spacing w:after="0" w:line="119"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231F20"/>
        </w:rPr>
        <w:t>Transaction revenues are recognized at a point in time when the payment transaction is processed. Other revenues are recognized as revenue at a point in time when the respective performance obligation is satisfied. The Group did not recognize revenues over time for the nine months ended September 30, 2022 and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  Cost of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Cost of services are composed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6"/>
        </w:trPr>
        <w:tc>
          <w:tcPr>
            <w:tcW w:w="582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82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Processing costs (i) (1)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146,190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72,109</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55,280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32,371</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Hosting expenses (ii)</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02"/>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wages (iii)</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 (iv)</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services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153,432</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76,361</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57,992</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34,202</w:t>
            </w:r>
          </w:p>
        </w:tc>
      </w:tr>
      <w:tr>
        <w:trPr>
          <w:trHeight w:val="325"/>
        </w:trPr>
        <w:tc>
          <w:tcPr>
            <w:tcW w:w="5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-256540</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-239395</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-256540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-239395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-256540</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-239395</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0" w:name="page31"/>
    <w:bookmarkEnd w:id="30"/>
    <w:p>
      <w:pPr>
        <w:ind w:left="683" w:hanging="378"/>
        <w:spacing w:after="0" w:line="257" w:lineRule="auto"/>
        <w:tabs>
          <w:tab w:leader="none" w:pos="683"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Mainly corresponds to fees that financial institutions (banks, local acquirers, payment methods or brokers) charge the Group, which are typically a percentage of the transaction value but in some instances, they also could be a fixed fee and are related to payment processing, cash advances, and installment payments.</w:t>
      </w:r>
    </w:p>
    <w:p>
      <w:pPr>
        <w:spacing w:after="0" w:line="1" w:lineRule="exact"/>
        <w:rPr>
          <w:rFonts w:ascii="Times New Roman" w:cs="Times New Roman" w:eastAsia="Times New Roman" w:hAnsi="Times New Roman"/>
          <w:sz w:val="18"/>
          <w:szCs w:val="18"/>
          <w:color w:val="231F20"/>
        </w:rPr>
      </w:pPr>
    </w:p>
    <w:p>
      <w:pPr>
        <w:ind w:left="683" w:hanging="378"/>
        <w:spacing w:after="0"/>
        <w:tabs>
          <w:tab w:leader="none" w:pos="683"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related to hosting services for the Group’s payment platform.</w:t>
      </w:r>
    </w:p>
    <w:p>
      <w:pPr>
        <w:spacing w:after="0" w:line="9" w:lineRule="exact"/>
        <w:rPr>
          <w:rFonts w:ascii="Times New Roman" w:cs="Times New Roman" w:eastAsia="Times New Roman" w:hAnsi="Times New Roman"/>
          <w:sz w:val="18"/>
          <w:szCs w:val="18"/>
          <w:color w:val="231F20"/>
        </w:rPr>
      </w:pPr>
    </w:p>
    <w:p>
      <w:pPr>
        <w:ind w:left="683" w:right="400" w:hanging="378"/>
        <w:spacing w:after="0" w:line="242" w:lineRule="auto"/>
        <w:tabs>
          <w:tab w:leader="none" w:pos="683"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 of salaries and wages of the operations department directly involved in the day-to-day operations. For further detail refer to Note 9: Employee Benefits.</w:t>
      </w:r>
    </w:p>
    <w:p>
      <w:pPr>
        <w:spacing w:after="0" w:line="1" w:lineRule="exact"/>
        <w:rPr>
          <w:rFonts w:ascii="Times New Roman" w:cs="Times New Roman" w:eastAsia="Times New Roman" w:hAnsi="Times New Roman"/>
          <w:sz w:val="18"/>
          <w:szCs w:val="18"/>
          <w:color w:val="231F20"/>
        </w:rPr>
      </w:pPr>
    </w:p>
    <w:p>
      <w:pPr>
        <w:ind w:left="663" w:right="220" w:hanging="358"/>
        <w:spacing w:after="0" w:line="260" w:lineRule="auto"/>
        <w:tabs>
          <w:tab w:leader="none" w:pos="663" w:val="left"/>
        </w:tabs>
        <w:numPr>
          <w:ilvl w:val="1"/>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Amortization of intangible assets corresponds to the amortization of the internally generated software (i.e., dLocal’s payment platform) by the Group. For further detail refer to Note 16: Intangible Assets.</w:t>
      </w:r>
    </w:p>
    <w:p>
      <w:pPr>
        <w:spacing w:after="0" w:line="181" w:lineRule="exact"/>
        <w:rPr>
          <w:rFonts w:ascii="Times New Roman" w:cs="Times New Roman" w:eastAsia="Times New Roman" w:hAnsi="Times New Roman"/>
          <w:sz w:val="18"/>
          <w:szCs w:val="18"/>
          <w:color w:val="231F20"/>
        </w:rPr>
      </w:pPr>
    </w:p>
    <w:p>
      <w:pPr>
        <w:jc w:val="both"/>
        <w:ind w:left="363" w:right="420" w:hanging="363"/>
        <w:spacing w:after="0" w:line="258" w:lineRule="auto"/>
        <w:tabs>
          <w:tab w:leader="none" w:pos="363"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nine months ended September 30, 2022, the amount includes USD 950 of foreign exchange losses (net of hedges) on the processed volume between the processing date and the expatriation or repatriation of funds date (USD 1,460 for the nine months ended September 30, 2021). For the three months ended September 30, 2022, the amount includes USD 386 of foreign exchange gain (net of hedges) on the processed volume between the processing date and the expatriation or repatriation of funds date (a net loss of USD 1,655 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140970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3"/>
          </w:cols>
          <w:pgMar w:left="397" w:top="148" w:right="399" w:bottom="1440" w:gutter="0" w:footer="0" w:header="0"/>
        </w:sectPr>
      </w:pPr>
    </w:p>
    <w:bookmarkStart w:id="31" w:name="page32"/>
    <w:bookmarkEnd w:id="31"/>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Technology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Technology and development expenses are composed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6"/>
        </w:trPr>
        <w:tc>
          <w:tcPr>
            <w:tcW w:w="582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82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wages (i)</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 (ii)</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Infrastructure expenses (iii)</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Information and technology security expenses (iv)</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technology expenses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Technology and development expenses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4,741</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2,232</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-145415</wp:posOffset>
            </wp:positionV>
            <wp:extent cx="85725"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-145415</wp:posOffset>
            </wp:positionV>
            <wp:extent cx="85725"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85725"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32" w:lineRule="exact"/>
        <w:rPr>
          <w:sz w:val="20"/>
          <w:szCs w:val="20"/>
          <w:color w:val="auto"/>
        </w:rPr>
      </w:pPr>
    </w:p>
    <w:p>
      <w:pPr>
        <w:ind w:left="740" w:right="640" w:hanging="358"/>
        <w:spacing w:after="0" w:line="266" w:lineRule="auto"/>
        <w:tabs>
          <w:tab w:leader="none" w:pos="7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 primarily of FTEs compensation related to technology related roles. For further detail on total salaries and wages refer to Note 9: Employee Benefits</w:t>
      </w:r>
    </w:p>
    <w:p>
      <w:pPr>
        <w:ind w:left="740" w:hanging="358"/>
        <w:spacing w:after="0"/>
        <w:tabs>
          <w:tab w:leader="none" w:pos="7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 of software licenses used by the technology development department for the development and maintenance of the platform.</w:t>
      </w:r>
    </w:p>
    <w:p>
      <w:pPr>
        <w:spacing w:after="0" w:line="27" w:lineRule="exact"/>
        <w:rPr>
          <w:rFonts w:ascii="Times New Roman" w:cs="Times New Roman" w:eastAsia="Times New Roman" w:hAnsi="Times New Roman"/>
          <w:sz w:val="18"/>
          <w:szCs w:val="18"/>
          <w:color w:val="231F20"/>
        </w:rPr>
      </w:pPr>
    </w:p>
    <w:p>
      <w:pPr>
        <w:ind w:left="740" w:hanging="358"/>
        <w:spacing w:after="0"/>
        <w:tabs>
          <w:tab w:leader="none" w:pos="7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Corresponds to information technology costs to support our infrastructure and back-office operations.</w:t>
      </w:r>
    </w:p>
    <w:p>
      <w:pPr>
        <w:spacing w:after="0" w:line="9" w:lineRule="exact"/>
        <w:rPr>
          <w:rFonts w:ascii="Times New Roman" w:cs="Times New Roman" w:eastAsia="Times New Roman" w:hAnsi="Times New Roman"/>
          <w:sz w:val="18"/>
          <w:szCs w:val="18"/>
          <w:color w:val="231F20"/>
        </w:rPr>
      </w:pPr>
    </w:p>
    <w:p>
      <w:pPr>
        <w:ind w:left="740" w:hanging="358"/>
        <w:spacing w:after="0"/>
        <w:tabs>
          <w:tab w:leader="none" w:pos="74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Comprises expenses of overall monitoring and security of our network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Sales and marketing expenses and General and administrative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Sales and marketing expenses and General and administrative expenses are composed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76"/>
        </w:trPr>
        <w:tc>
          <w:tcPr>
            <w:tcW w:w="5660" w:type="dxa"/>
            <w:vAlign w:val="bottom"/>
            <w:vMerge w:val="restart"/>
          </w:tcPr>
          <w:p>
            <w:pPr>
              <w:ind w:left="184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 expenses</w:t>
            </w:r>
          </w:p>
        </w:tc>
        <w:tc>
          <w:tcPr>
            <w:tcW w:w="16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wages (i)</w:t>
            </w:r>
          </w:p>
        </w:tc>
        <w:tc>
          <w:tcPr>
            <w:tcW w:w="1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expenses (ii)</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Sales and marketing expenses</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9,444</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3,424</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3,472</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1,255</w:t>
            </w:r>
          </w:p>
        </w:tc>
        <w:tc>
          <w:tcPr>
            <w:tcW w:w="0" w:type="dxa"/>
            <w:vAlign w:val="bottom"/>
          </w:tcPr>
          <w:p>
            <w:pPr>
              <w:spacing w:after="0"/>
              <w:rPr>
                <w:sz w:val="1"/>
                <w:szCs w:val="1"/>
                <w:color w:val="auto"/>
              </w:rPr>
            </w:pPr>
          </w:p>
        </w:tc>
      </w:tr>
      <w:tr>
        <w:trPr>
          <w:trHeight w:val="343"/>
        </w:trPr>
        <w:tc>
          <w:tcPr>
            <w:tcW w:w="5660" w:type="dxa"/>
            <w:vAlign w:val="bottom"/>
            <w:vMerge w:val="restart"/>
          </w:tcPr>
          <w:p>
            <w:pPr>
              <w:ind w:left="160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wages (iii)</w:t>
            </w:r>
          </w:p>
        </w:tc>
        <w:tc>
          <w:tcPr>
            <w:tcW w:w="1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16,058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16,151</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Third-party services (iv)</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 expenses (v)</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Travel and other operating expenses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depreciation (vi)</w:t>
            </w: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General and administrative expenses</w:t>
            </w: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30,872</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30,080</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11,483</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-1182370</wp:posOffset>
            </wp:positionV>
            <wp:extent cx="1851660" cy="3943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851660" cy="39433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-144780</wp:posOffset>
            </wp:positionV>
            <wp:extent cx="85725"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-144780</wp:posOffset>
            </wp:positionV>
            <wp:extent cx="85725"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-144780</wp:posOffset>
            </wp:positionV>
            <wp:extent cx="85725"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91" w:lineRule="exact"/>
        <w:rPr>
          <w:sz w:val="20"/>
          <w:szCs w:val="20"/>
          <w:color w:val="auto"/>
        </w:rPr>
      </w:pPr>
    </w:p>
    <w:p>
      <w:pPr>
        <w:ind w:left="980" w:right="140" w:hanging="452"/>
        <w:spacing w:after="0" w:line="261" w:lineRule="auto"/>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wages related to Full Time Equivalents (“FTE”) engaged in the Sales and marketing department of the Group. For further detail on total salaries and wages refer to Note 9: Employee Benefits.</w:t>
      </w:r>
    </w:p>
    <w:p>
      <w:pPr>
        <w:ind w:left="980" w:right="160" w:hanging="452"/>
        <w:spacing w:after="0" w:line="250" w:lineRule="auto"/>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related to the distribution and production of marketing and advertising, public relations expenses, commissions to third-party sales force, online performance marketing and partners and expenses incurred in relation to trade marketing at events.</w:t>
      </w:r>
    </w:p>
    <w:p>
      <w:pPr>
        <w:ind w:left="980" w:hanging="452"/>
        <w:spacing w:after="0"/>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and wages related to administrative FTEs. For further detail on total salaries and wages refer to Note 9: Employee Benefits.</w:t>
      </w:r>
    </w:p>
    <w:p>
      <w:pPr>
        <w:spacing w:after="0" w:line="9" w:lineRule="exact"/>
        <w:rPr>
          <w:rFonts w:ascii="Times New Roman" w:cs="Times New Roman" w:eastAsia="Times New Roman" w:hAnsi="Times New Roman"/>
          <w:sz w:val="18"/>
          <w:szCs w:val="18"/>
          <w:color w:val="231F20"/>
        </w:rPr>
      </w:pPr>
    </w:p>
    <w:p>
      <w:pPr>
        <w:ind w:left="980" w:right="340" w:hanging="452"/>
        <w:spacing w:after="0" w:line="250" w:lineRule="auto"/>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includes Advisors’ fees, Legal fees, Auditors’ fees and Human resources’ fees. Third-party services, for the nine months ended September 30, 2021, also include USD 4,441 of Secondary offering expenses and USD 665 of Transaction costs (USD 694 and USD 211, respectively, for the three months ended September 30, 2021).</w:t>
      </w:r>
    </w:p>
    <w:p>
      <w:pPr>
        <w:spacing w:after="0" w:line="1" w:lineRule="exact"/>
        <w:rPr>
          <w:rFonts w:ascii="Times New Roman" w:cs="Times New Roman" w:eastAsia="Times New Roman" w:hAnsi="Times New Roman"/>
          <w:sz w:val="18"/>
          <w:szCs w:val="18"/>
          <w:color w:val="231F20"/>
        </w:rPr>
      </w:pPr>
    </w:p>
    <w:p>
      <w:pPr>
        <w:ind w:left="980" w:hanging="452"/>
        <w:spacing w:after="0"/>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 of office rent and related expenses.</w:t>
      </w:r>
    </w:p>
    <w:p>
      <w:pPr>
        <w:spacing w:after="0" w:line="9" w:lineRule="exact"/>
        <w:rPr>
          <w:rFonts w:ascii="Times New Roman" w:cs="Times New Roman" w:eastAsia="Times New Roman" w:hAnsi="Times New Roman"/>
          <w:sz w:val="18"/>
          <w:szCs w:val="18"/>
          <w:color w:val="231F20"/>
        </w:rPr>
      </w:pPr>
    </w:p>
    <w:p>
      <w:pPr>
        <w:ind w:left="980" w:right="680" w:hanging="452"/>
        <w:spacing w:after="0" w:line="245" w:lineRule="auto"/>
        <w:tabs>
          <w:tab w:leader="none" w:pos="9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Corresponds to amortization of right-of-use assets as well as depreciation of property, plant and equipment. For further detail on total amortization and depreciation charges refer to Note 10: Amortization and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Employee Benefits</w:t>
      </w:r>
    </w:p>
    <w:p>
      <w:pPr>
        <w:spacing w:after="0" w:line="121"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231F20"/>
        </w:rPr>
        <w:t>As of September 30, 2022, the Group’s FTEs were 712 (532 as of September 30, 2021) where 40% corresponded to information technology and product engineers and related roles (39% as of September 30, 2021)</w:t>
      </w:r>
      <w:r>
        <w:rPr>
          <w:rFonts w:ascii="Times New Roman" w:cs="Times New Roman" w:eastAsia="Times New Roman" w:hAnsi="Times New Roman"/>
          <w:sz w:val="18"/>
          <w:szCs w:val="18"/>
          <w:color w:val="000000"/>
        </w:rPr>
        <w:t>. As of</w:t>
      </w:r>
      <w:r>
        <w:rPr>
          <w:rFonts w:ascii="Times New Roman" w:cs="Times New Roman" w:eastAsia="Times New Roman" w:hAnsi="Times New Roman"/>
          <w:sz w:val="18"/>
          <w:szCs w:val="18"/>
          <w:color w:val="231F20"/>
        </w:rPr>
        <w:t xml:space="preserve"> September 30, 2022, 566 FTEs were located in America and 146 were located in Africa and Asia (460 and 72, respectively, as of September 30,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Employee benefits is composed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64"/>
        </w:trPr>
        <w:tc>
          <w:tcPr>
            <w:tcW w:w="582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8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Salaries, wages and contractor fees (i)</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29,857</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19,858</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11,102</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7,504</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payments (ii)</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employee benefits</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34,731</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25,212</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12,701</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91" w:lineRule="exact"/>
        <w:rPr>
          <w:sz w:val="20"/>
          <w:szCs w:val="20"/>
          <w:color w:val="auto"/>
        </w:rPr>
      </w:pPr>
    </w:p>
    <w:p>
      <w:pPr>
        <w:ind w:left="760" w:right="80" w:hanging="378"/>
        <w:spacing w:after="0" w:line="247" w:lineRule="auto"/>
        <w:tabs>
          <w:tab w:leader="none" w:pos="7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Salaries, wages and contractor fees include social security costs as well as annual bonuses compensations. This line also includes USD 7,706 for the nine months ended September 30, 2022 (USD 4,704 for the nine months ended September 30, 2021) and USD 2,790 for the three months ended September 30, 2022 (USD 2,159 for the three months ended September 30, 2021) related to capitalized salaries and wages.</w:t>
      </w:r>
    </w:p>
    <w:p>
      <w:pPr>
        <w:spacing w:after="0" w:line="1" w:lineRule="exact"/>
        <w:rPr>
          <w:rFonts w:ascii="Times New Roman" w:cs="Times New Roman" w:eastAsia="Times New Roman" w:hAnsi="Times New Roman"/>
          <w:sz w:val="18"/>
          <w:szCs w:val="18"/>
          <w:color w:val="231F20"/>
        </w:rPr>
      </w:pPr>
    </w:p>
    <w:p>
      <w:pPr>
        <w:ind w:left="760" w:right="380" w:hanging="378"/>
        <w:spacing w:after="0" w:line="258" w:lineRule="auto"/>
        <w:tabs>
          <w:tab w:leader="none" w:pos="76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share-based payments relate to equity-settled compensation expenses, net of forfeitures if any. For further information refer to Note 2.2: 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231F20"/>
        </w:rPr>
        <w:t>10.  Amortization and Depreciation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Amortization and depreciation expenses are composed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5"/>
        </w:trPr>
        <w:tc>
          <w:tcPr>
            <w:tcW w:w="582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82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 amortization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of Property, plant &amp; equipment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Amortization and 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1,381</w:t>
            </w:r>
          </w:p>
        </w:tc>
      </w:tr>
      <w:tr>
        <w:trPr>
          <w:trHeight w:val="20"/>
        </w:trPr>
        <w:tc>
          <w:tcPr>
            <w:tcW w:w="5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-162560</wp:posOffset>
            </wp:positionV>
            <wp:extent cx="85725"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-162560</wp:posOffset>
            </wp:positionV>
            <wp:extent cx="85725"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-162560</wp:posOffset>
            </wp:positionV>
            <wp:extent cx="85725"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further information related to amortization of intangible assets refer to Note 16: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231F20"/>
        </w:rPr>
        <w:t>11.  Income Tax</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Income tax expense is recognized based on management’s estimate of the weighted average effective annual income tax rate expected for the full financial year. The estimated average income tax rate used for the nine months ended September 30, 2022 is 7.9%, compared to 9.2% for the nine months ended September 30,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income tax charge recognized in profit and losses is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75"/>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Current Income Tax</w:t>
            </w:r>
          </w:p>
        </w:tc>
        <w:tc>
          <w:tcPr>
            <w:tcW w:w="16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96"/>
        </w:trPr>
        <w:tc>
          <w:tcPr>
            <w:tcW w:w="56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Income Tax on profits for the period</w:t>
            </w:r>
          </w:p>
        </w:tc>
        <w:tc>
          <w:tcPr>
            <w:tcW w:w="16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Income Tax expense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(8,999)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(5,173)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(2,723)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Deferred income tax</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Increase/(decrease) in deferred income tax assets</w:t>
            </w:r>
          </w:p>
        </w:tc>
        <w:tc>
          <w:tcPr>
            <w:tcW w:w="16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Decrease/(increase) in deferred income tax liabilities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Deferred income tax benefit/(expense)</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1,348</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(360)</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602</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0" w:type="dxa"/>
            <w:vAlign w:val="bottom"/>
          </w:tcPr>
          <w:p>
            <w:pPr>
              <w:spacing w:after="0"/>
              <w:rPr>
                <w:sz w:val="1"/>
                <w:szCs w:val="1"/>
                <w:color w:val="auto"/>
              </w:rPr>
            </w:pPr>
          </w:p>
        </w:tc>
      </w:tr>
      <w:tr>
        <w:trPr>
          <w:trHeight w:val="18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(7,651)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(5,533)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(2,558)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-1328420</wp:posOffset>
            </wp:positionV>
            <wp:extent cx="85725" cy="5314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5314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-1328420</wp:posOffset>
            </wp:positionV>
            <wp:extent cx="85725" cy="531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5314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-1328420</wp:posOffset>
            </wp:positionV>
            <wp:extent cx="85725" cy="531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5314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-402590</wp:posOffset>
            </wp:positionV>
            <wp:extent cx="185166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5166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left="360" w:hanging="352"/>
        <w:spacing w:after="0"/>
        <w:tabs>
          <w:tab w:leader="none" w:pos="360" w:val="left"/>
        </w:tabs>
        <w:numPr>
          <w:ilvl w:val="0"/>
          <w:numId w:val="3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Capital management</w:t>
      </w:r>
    </w:p>
    <w:p>
      <w:pPr>
        <w:spacing w:after="0" w:line="105" w:lineRule="exact"/>
        <w:rPr>
          <w:rFonts w:ascii="Times New Roman" w:cs="Times New Roman" w:eastAsia="Times New Roman" w:hAnsi="Times New Roman"/>
          <w:sz w:val="18"/>
          <w:szCs w:val="18"/>
          <w:b w:val="1"/>
          <w:bCs w:val="1"/>
          <w:color w:val="231F20"/>
        </w:rPr>
      </w:pPr>
    </w:p>
    <w:p>
      <w:pPr>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i w:val="1"/>
          <w:iCs w:val="1"/>
          <w:color w:val="231F20"/>
        </w:rPr>
        <w:t>(a) Share capital</w:t>
      </w:r>
    </w:p>
    <w:p>
      <w:pPr>
        <w:spacing w:after="0" w:line="105" w:lineRule="exact"/>
        <w:rPr>
          <w:rFonts w:ascii="Times New Roman" w:cs="Times New Roman" w:eastAsia="Times New Roman" w:hAnsi="Times New Roman"/>
          <w:sz w:val="18"/>
          <w:szCs w:val="18"/>
          <w:b w:val="1"/>
          <w:bCs w:val="1"/>
          <w:color w:val="231F20"/>
        </w:rPr>
      </w:pPr>
    </w:p>
    <w:p>
      <w:pPr>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231F20"/>
        </w:rPr>
        <w:t>Authorized shares, as well as issued and fully paid-up shares, are presented below:</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4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02"/>
        </w:trPr>
        <w:tc>
          <w:tcPr>
            <w:tcW w:w="4640" w:type="dxa"/>
            <w:vAlign w:val="bottom"/>
          </w:tcPr>
          <w:p>
            <w:pPr>
              <w:spacing w:after="0"/>
              <w:rPr>
                <w:sz w:val="17"/>
                <w:szCs w:val="17"/>
                <w:color w:val="auto"/>
              </w:rPr>
            </w:pPr>
          </w:p>
        </w:tc>
        <w:tc>
          <w:tcPr>
            <w:tcW w:w="14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USD</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USD</w:t>
            </w: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Authorized Shares of USD 0.002 USD each</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B common shares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Undesignated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36"/>
        </w:trPr>
        <w:tc>
          <w:tcPr>
            <w:tcW w:w="46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1,500,000,000</w:t>
            </w: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1,500,000,000</w:t>
            </w: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3,000</w:t>
            </w:r>
          </w:p>
        </w:tc>
      </w:tr>
      <w:tr>
        <w:trPr>
          <w:trHeight w:val="183"/>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Issued and Fully Paid Up Shares of USD 0.002 each</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Common Shares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161,930,899</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149,065,490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134,054,192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145,962,951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36"/>
        </w:trPr>
        <w:tc>
          <w:tcPr>
            <w:tcW w:w="46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295,985,091</w:t>
            </w:r>
          </w:p>
        </w:tc>
        <w:tc>
          <w:tcPr>
            <w:tcW w:w="1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592</w:t>
            </w:r>
          </w:p>
        </w:tc>
        <w:tc>
          <w:tcPr>
            <w:tcW w:w="10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295,028,441</w:t>
            </w:r>
          </w:p>
        </w:tc>
        <w:tc>
          <w:tcPr>
            <w:tcW w:w="10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r>
      <w:tr>
        <w:trPr>
          <w:trHeight w:val="183"/>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 Capital evolution</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 as at January 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295,028,441</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268,598,000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 Issue of common shares at USD 0.002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956,650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19,906,000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ii) Par value change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iii) Issue of ordinary shares at the IPO</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4,411,765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iv) Warrant exercise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2,112,676</w:t>
            </w:r>
          </w:p>
        </w:tc>
        <w:tc>
          <w:tcPr>
            <w:tcW w:w="10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 capital as of September 30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295,985,091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295,028,441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r>
      <w:tr>
        <w:trPr>
          <w:trHeight w:val="20"/>
        </w:trPr>
        <w:tc>
          <w:tcPr>
            <w:tcW w:w="46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-1508125</wp:posOffset>
            </wp:positionV>
            <wp:extent cx="199707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97075" cy="15430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-959485</wp:posOffset>
            </wp:positionV>
            <wp:extent cx="1997075"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97075" cy="15430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-162560</wp:posOffset>
            </wp:positionV>
            <wp:extent cx="68580"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-162560</wp:posOffset>
            </wp:positionV>
            <wp:extent cx="6858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0325" cy="1631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9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231F20"/>
        </w:rPr>
        <w:t>The rights of the holders of Class A Common Shares and Class B Common Shares are identical, except with respect to voting, conversion and transfer restrictions applicable to the Class B Common Shares. Each Class A Common Share is entitled to one vote while Class B Common Shares are entitled to five votes each. Each Class B Common Share is convertible into one Class A Common Share automatically upon transfer, subject to certain exceptions. Holders of Class A Common Shares and Class B Common Shares vote together as a single class on all matters unless otherwise required by law.</w:t>
      </w:r>
    </w:p>
    <w:p>
      <w:pPr>
        <w:spacing w:after="0" w:line="170" w:lineRule="exact"/>
        <w:rPr>
          <w:sz w:val="20"/>
          <w:szCs w:val="20"/>
          <w:color w:val="auto"/>
        </w:rPr>
      </w:pPr>
    </w:p>
    <w:p>
      <w:pPr>
        <w:ind w:left="320" w:hanging="312"/>
        <w:spacing w:after="0" w:line="242" w:lineRule="auto"/>
        <w:tabs>
          <w:tab w:leader="none" w:pos="3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nine months ended September 30, 2022 dLocal issued 956,650 new Class A Common Shares receiving total proceeds of USD 3,724, related to the exercise of share-options. For the nine months ended September 30, 2021 and prior to the IPO date (June 3, 2021) dLocal issued 19,906,000 new Class A Common Shares receiving total proceeds of USD 63,177, according to the following details: i) 15,640,000 shares related to the exercise of share-options where dLocal received payments for USD 31,678; ii) 45,000 shares related to the exercise of share-options where dLocal received payments for USD 98; and iii) 4,221,000 shares, issued on March 3</w:t>
      </w:r>
      <w:r>
        <w:rPr>
          <w:rFonts w:ascii="Times New Roman" w:cs="Times New Roman" w:eastAsia="Times New Roman" w:hAnsi="Times New Roman"/>
          <w:sz w:val="11"/>
          <w:szCs w:val="11"/>
          <w:color w:val="231F20"/>
        </w:rPr>
        <w:t>rd</w:t>
      </w:r>
      <w:r>
        <w:rPr>
          <w:rFonts w:ascii="Times New Roman" w:cs="Times New Roman" w:eastAsia="Times New Roman" w:hAnsi="Times New Roman"/>
          <w:sz w:val="18"/>
          <w:szCs w:val="18"/>
          <w:color w:val="231F20"/>
        </w:rPr>
        <w:t>, 2021, where dLocal received payments for USD 31,401.</w:t>
      </w:r>
    </w:p>
    <w:p>
      <w:pPr>
        <w:spacing w:after="0" w:line="2" w:lineRule="exact"/>
        <w:rPr>
          <w:rFonts w:ascii="Times New Roman" w:cs="Times New Roman" w:eastAsia="Times New Roman" w:hAnsi="Times New Roman"/>
          <w:sz w:val="18"/>
          <w:szCs w:val="18"/>
          <w:color w:val="231F20"/>
        </w:rPr>
      </w:pPr>
    </w:p>
    <w:p>
      <w:pPr>
        <w:ind w:left="320" w:right="20" w:hanging="312"/>
        <w:spacing w:after="0" w:line="242" w:lineRule="auto"/>
        <w:tabs>
          <w:tab w:leader="none" w:pos="3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April 14, 2021 existing shareholders of dLocal Group Limited contributed the outstanding shares, with par value of 1.1211 U.S. Dollars, to dLocal, and received the same number of shares with par value of 1 U.S. Dollars.</w:t>
      </w:r>
    </w:p>
    <w:p>
      <w:pPr>
        <w:spacing w:after="0" w:line="1"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June 3, 2021 the following transactions took place related to the Group’s IPO: i) the Group made a 500-for-1 share split where the shareholders of</w:t>
      </w:r>
    </w:p>
    <w:p>
      <w:pPr>
        <w:spacing w:after="0" w:line="16" w:lineRule="exact"/>
        <w:rPr>
          <w:sz w:val="20"/>
          <w:szCs w:val="20"/>
          <w:color w:val="auto"/>
        </w:rPr>
      </w:pPr>
    </w:p>
    <w:p>
      <w:pPr>
        <w:ind w:left="320" w:right="200"/>
        <w:spacing w:after="0" w:line="247" w:lineRule="auto"/>
        <w:rPr>
          <w:sz w:val="20"/>
          <w:szCs w:val="20"/>
          <w:color w:val="auto"/>
        </w:rPr>
      </w:pPr>
      <w:r>
        <w:rPr>
          <w:rFonts w:ascii="Times New Roman" w:cs="Times New Roman" w:eastAsia="Times New Roman" w:hAnsi="Times New Roman"/>
          <w:sz w:val="18"/>
          <w:szCs w:val="18"/>
          <w:color w:val="231F20"/>
        </w:rPr>
        <w:t>dLocal exchanged 577,008 shares with par value of 1 U.S. Dollars for 288,504,000 shares of par value 0.002 U.S. Dollars of the same entity; ii) 4,411,765 shares were issued as part of the initial public offering where dLocal received a payment, net of issuance costs, of USD 86,450 based on a market price of 21.0 U.S. Dollars per share.</w:t>
      </w:r>
    </w:p>
    <w:p>
      <w:pPr>
        <w:ind w:left="320" w:right="260" w:hanging="312"/>
        <w:spacing w:after="0" w:line="245" w:lineRule="auto"/>
        <w:tabs>
          <w:tab w:leader="none" w:pos="3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September 2, 2021 a holder of warrants exercised its net issuance right resulting in a net issuance on September 7, 2021 of 2,112,676 shares at a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5" w:right="37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color w:val="231F20"/>
        </w:rPr>
        <w:t>Market Value of U.S. Dollars 65.14 per share, calculated using the average price of 5 business days before the exercise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 Capital reserve</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The Capital reserve corresponds to reserves related to the share-based plans, as described in Note 2.11: Share-based payments and warrants to the Annual Financial Statements for the year ended December 31, 2021. Accordingly, this reserve is related to share-based payment compensation plans of the Group.</w:t>
      </w:r>
    </w:p>
    <w:p>
      <w:pPr>
        <w:spacing w:after="0" w:line="162"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231F20"/>
        </w:rPr>
        <w:t>The following table shows a breakdown of the consolidated condensed interim statement of financial position line item ‘Capital Reserves’ and the movements in these reserves during the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gridSpan w:val="2"/>
          </w:tcPr>
          <w:p>
            <w:pPr>
              <w:ind w:left="8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8"/>
                <w:szCs w:val="18"/>
                <w:color w:val="auto"/>
              </w:rPr>
            </w:pPr>
          </w:p>
        </w:tc>
        <w:tc>
          <w:tcPr>
            <w:tcW w:w="18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January 1</w:t>
            </w:r>
          </w:p>
        </w:tc>
        <w:tc>
          <w:tcPr>
            <w:tcW w:w="1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12,741</w:t>
            </w: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12,582</w:t>
            </w:r>
          </w:p>
        </w:tc>
      </w:tr>
      <w:tr>
        <w:trPr>
          <w:trHeight w:val="20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Share-options exercise (i)</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(6,898)</w:t>
            </w:r>
          </w:p>
        </w:tc>
      </w:tr>
      <w:tr>
        <w:trPr>
          <w:trHeight w:val="203"/>
        </w:trPr>
        <w:tc>
          <w:tcPr>
            <w:tcW w:w="8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payments charges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5,360</w:t>
            </w:r>
          </w:p>
        </w:tc>
      </w:tr>
      <w:tr>
        <w:trPr>
          <w:trHeight w:val="203"/>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 exercise</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196"/>
        </w:trPr>
        <w:tc>
          <w:tcPr>
            <w:tcW w:w="8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September 30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13,170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10,505</w:t>
            </w:r>
          </w:p>
        </w:tc>
      </w:tr>
      <w:tr>
        <w:trPr>
          <w:trHeight w:val="20"/>
        </w:trPr>
        <w:tc>
          <w:tcPr>
            <w:tcW w:w="7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163195"/>
                    </a:xfrm>
                    <a:prstGeom prst="rect">
                      <a:avLst/>
                    </a:prstGeom>
                    <a:noFill/>
                  </pic:spPr>
                </pic:pic>
              </a:graphicData>
            </a:graphic>
          </wp:anchor>
        </w:drawing>
      </w:r>
    </w:p>
    <w:p>
      <w:pPr>
        <w:spacing w:after="0" w:line="218" w:lineRule="exact"/>
        <w:rPr>
          <w:sz w:val="20"/>
          <w:szCs w:val="20"/>
          <w:color w:val="auto"/>
        </w:rPr>
      </w:pPr>
    </w:p>
    <w:p>
      <w:pPr>
        <w:jc w:val="both"/>
        <w:ind w:left="740" w:right="100" w:hanging="302"/>
        <w:spacing w:after="0" w:line="266" w:lineRule="auto"/>
        <w:tabs>
          <w:tab w:leader="none" w:pos="740" w:val="left"/>
        </w:tabs>
        <w:numPr>
          <w:ilvl w:val="1"/>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During the nine months ended September 30, 2022 and 2021, a total of 956,650 and 15,685,000 share-options under the share-based payments plan were exercised, respectively. Consequently, the correspondent charge to Capital reserve was recycled into the Share premium line item within equity.</w:t>
      </w:r>
    </w:p>
    <w:p>
      <w:pPr>
        <w:spacing w:after="0" w:line="146" w:lineRule="exact"/>
        <w:rPr>
          <w:rFonts w:ascii="Times New Roman" w:cs="Times New Roman" w:eastAsia="Times New Roman" w:hAnsi="Times New Roman"/>
          <w:sz w:val="18"/>
          <w:szCs w:val="18"/>
          <w:color w:val="231F20"/>
        </w:rPr>
      </w:pPr>
    </w:p>
    <w:p>
      <w:pPr>
        <w:ind w:left="260" w:hanging="252"/>
        <w:spacing w:after="0"/>
        <w:tabs>
          <w:tab w:leader="none" w:pos="260" w:val="left"/>
        </w:tabs>
        <w:numPr>
          <w:ilvl w:val="0"/>
          <w:numId w:val="39"/>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Other Reserves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The reserves for the Group relate to cumulative translation adjustment representing differences on conversion of assets and liabilities at the reporting date.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The following table shows a breakdown of the consolidated statement of financial position line item ‘Other Reserves’ and the movements in these reserves during the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84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48"/>
        </w:trPr>
        <w:tc>
          <w:tcPr>
            <w:tcW w:w="772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Cumulative Translation</w:t>
            </w:r>
          </w:p>
        </w:tc>
        <w:tc>
          <w:tcPr>
            <w:tcW w:w="180" w:type="dxa"/>
            <w:vAlign w:val="bottom"/>
          </w:tcPr>
          <w:p>
            <w:pPr>
              <w:spacing w:after="0"/>
              <w:rPr>
                <w:sz w:val="12"/>
                <w:szCs w:val="12"/>
                <w:color w:val="auto"/>
              </w:rPr>
            </w:pPr>
          </w:p>
        </w:tc>
        <w:tc>
          <w:tcPr>
            <w:tcW w:w="16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Cumulative Translation</w:t>
            </w:r>
          </w:p>
        </w:tc>
      </w:tr>
      <w:tr>
        <w:trPr>
          <w:trHeight w:val="210"/>
        </w:trPr>
        <w:tc>
          <w:tcPr>
            <w:tcW w:w="77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Adjustment</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Adjustment</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January 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119</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Movement of other reserves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September 30</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(1,785)</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423</w:t>
            </w:r>
          </w:p>
        </w:tc>
      </w:tr>
      <w:tr>
        <w:trPr>
          <w:trHeight w:val="285"/>
        </w:trPr>
        <w:tc>
          <w:tcPr>
            <w:tcW w:w="7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-231140</wp:posOffset>
            </wp:positionV>
            <wp:extent cx="1111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-213995</wp:posOffset>
            </wp:positionV>
            <wp:extent cx="111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231F20"/>
        </w:rPr>
        <w:t>(d) Retained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Movements in retained earnings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Pr>
          <w:p>
            <w:pPr>
              <w:spacing w:after="0"/>
              <w:rPr>
                <w:sz w:val="18"/>
                <w:szCs w:val="18"/>
                <w:color w:val="auto"/>
              </w:rPr>
            </w:pPr>
          </w:p>
        </w:tc>
        <w:tc>
          <w:tcPr>
            <w:tcW w:w="18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January 1</w:t>
            </w: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109,867</w:t>
            </w: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31,749</w:t>
            </w:r>
          </w:p>
        </w:tc>
      </w:tr>
      <w:tr>
        <w:trPr>
          <w:trHeight w:val="203"/>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 for the period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54,455</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at September 30</w:t>
            </w:r>
          </w:p>
        </w:tc>
        <w:tc>
          <w:tcPr>
            <w:tcW w:w="106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200,460</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86,204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(e) Earnings per share</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dLocal calculates basic earnings per share by dividing the profit attributable to equity holders by the weighted average number of common shares issued and outstanding during the nine months ended September 30, 2022 and 2021.</w:t>
      </w:r>
    </w:p>
    <w:p>
      <w:pPr>
        <w:spacing w:after="0" w:line="162" w:lineRule="exact"/>
        <w:rPr>
          <w:sz w:val="20"/>
          <w:szCs w:val="20"/>
          <w:color w:val="auto"/>
        </w:rPr>
      </w:pPr>
    </w:p>
    <w:p>
      <w:pPr>
        <w:jc w:val="both"/>
        <w:ind w:right="440"/>
        <w:spacing w:after="0" w:line="251" w:lineRule="auto"/>
        <w:rPr>
          <w:sz w:val="20"/>
          <w:szCs w:val="20"/>
          <w:color w:val="auto"/>
        </w:rPr>
      </w:pPr>
      <w:r>
        <w:rPr>
          <w:rFonts w:ascii="Times New Roman" w:cs="Times New Roman" w:eastAsia="Times New Roman" w:hAnsi="Times New Roman"/>
          <w:sz w:val="18"/>
          <w:szCs w:val="18"/>
          <w:color w:val="231F20"/>
        </w:rPr>
        <w:t>For diluted earnings per share is calculated by dividing the profit attributable to equity holders of dLocal by the weighted average number of common shares outstanding during the period plus the weighted average number of common shares that would be issued on conversion of all dilutive potential common shares into common shares</w:t>
      </w:r>
      <w:r>
        <w:rPr>
          <w:rFonts w:ascii="Calibri" w:cs="Calibri" w:eastAsia="Calibri" w:hAnsi="Calibri"/>
          <w:sz w:val="19"/>
          <w:szCs w:val="19"/>
          <w:color w:val="000000"/>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next table presents the information used as base for such calculation: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6"/>
        </w:trPr>
        <w:tc>
          <w:tcPr>
            <w:tcW w:w="582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right"/>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82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Profit attributable to common shareholders (U.S. Dollars)</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89,326,469</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54,291,000</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32,462,422</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19,663,000</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295,455,429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284,456,779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295,918,751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293,558,997</w:t>
            </w: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for calculation of diluted earnings per share(1)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17,783,776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19,609,500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17,246,606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19,646,000</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for calculating diluted earnings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313,239,205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304,066,279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313,165,357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313,204,997</w:t>
            </w:r>
          </w:p>
        </w:tc>
      </w:tr>
      <w:tr>
        <w:trPr>
          <w:trHeight w:val="20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4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-144780</wp:posOffset>
            </wp:positionV>
            <wp:extent cx="85725"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-144780</wp:posOffset>
            </wp:positionV>
            <wp:extent cx="85725"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-144780</wp:posOffset>
            </wp:positionV>
            <wp:extent cx="85725" cy="145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05" w:lineRule="exact"/>
        <w:rPr>
          <w:sz w:val="20"/>
          <w:szCs w:val="20"/>
          <w:color w:val="auto"/>
        </w:rPr>
      </w:pPr>
    </w:p>
    <w:p>
      <w:pPr>
        <w:ind w:right="320" w:firstLine="8"/>
        <w:spacing w:after="0" w:line="256" w:lineRule="auto"/>
        <w:tabs>
          <w:tab w:leader="none" w:pos="234" w:val="left"/>
        </w:tabs>
        <w:numPr>
          <w:ilvl w:val="0"/>
          <w:numId w:val="40"/>
        </w:numPr>
        <w:rPr>
          <w:rFonts w:ascii="Times New Roman" w:cs="Times New Roman" w:eastAsia="Times New Roman" w:hAnsi="Times New Roman"/>
          <w:sz w:val="12"/>
          <w:szCs w:val="12"/>
          <w:color w:val="231F20"/>
        </w:rPr>
      </w:pPr>
      <w:r>
        <w:rPr>
          <w:rFonts w:ascii="Times New Roman" w:cs="Times New Roman" w:eastAsia="Times New Roman" w:hAnsi="Times New Roman"/>
          <w:sz w:val="18"/>
          <w:szCs w:val="18"/>
          <w:color w:val="231F20"/>
        </w:rPr>
        <w:t>For the nine months ended September 30, 2022, the adjustment corresponds to the dilutive effect of i) 14,896,831 average shares related to share-based payment warrants described in Note 2.11: Share-based payments and warrants to the Annual Financial Statements for the year ended December 31, 2021; and ii) 2,886,945 average shares related to share-based payment plans with employees (16,208,500 and 3,401,000 respectively for the nine months ended September 30, 2021). For the three months ended September 30, 2022, the adjustment corresponds to the dilutive effect of i) 14,887,078 average shares related to share-based payment warrants; and ii) 2,359,528 average shares related to share-based payment plans with employees (16,456,000 and 3,190,000 respectively 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231F20"/>
        </w:rPr>
        <w:t>13.  Cash and cash equivalents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Cash and cash equivalents breakdown is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Own Balances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319,987</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227,913</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Clients Funds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108,284</w:t>
            </w: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542,298</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336,197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7" w:lineRule="exact"/>
        <w:rPr>
          <w:sz w:val="20"/>
          <w:szCs w:val="20"/>
          <w:color w:val="auto"/>
        </w:rPr>
      </w:pPr>
    </w:p>
    <w:p>
      <w:pPr>
        <w:ind w:right="1340"/>
        <w:spacing w:after="0" w:line="266" w:lineRule="auto"/>
        <w:rPr>
          <w:sz w:val="20"/>
          <w:szCs w:val="20"/>
          <w:color w:val="auto"/>
        </w:rPr>
      </w:pPr>
      <w:r>
        <w:rPr>
          <w:rFonts w:ascii="Times New Roman" w:cs="Times New Roman" w:eastAsia="Times New Roman" w:hAnsi="Times New Roman"/>
          <w:sz w:val="18"/>
          <w:szCs w:val="18"/>
          <w:color w:val="231F20"/>
        </w:rPr>
        <w:t>As of September 30, 2022, USD 542,298 (USD 336,197 on December 31, 2021) represents cash on hand, demand deposits with financial institutions and other short-term liquid financial instruments.</w:t>
      </w:r>
    </w:p>
    <w:p>
      <w:pPr>
        <w:spacing w:after="0" w:line="16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231F20"/>
        </w:rPr>
        <w:t xml:space="preserve">Own Balances correspond to cash and cash equivalents of the Group while Merchant Clients Funds correspond to freely available funds collected from the merchants’ customers, that can be invested in secure, liquid low-risk assets until they are transferred to the merchants in accordance with the agreed conditions with them or transferred to Own Funds accounts for the portion that corresponds to the Group fees. </w:t>
      </w:r>
      <w:r>
        <w:rPr>
          <w:rFonts w:ascii="Times New Roman" w:cs="Times New Roman" w:eastAsia="Times New Roman" w:hAnsi="Times New Roman"/>
          <w:sz w:val="18"/>
          <w:szCs w:val="18"/>
          <w:color w:val="000000"/>
        </w:rPr>
        <w:t>As of September 30, 2022 , Merchant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Clients Funds includes USD 13,757 pending to be transferred to Own Funds accounts (USD 7,827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231F20"/>
        </w:rPr>
        <w:t>14.  Trade and other receivables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Trade and Other Receivables of the Group are composed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206,479</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179,199</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allowance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receivables net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206,263</w:t>
            </w: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178,877</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Advances and other receivables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12,089</w:t>
            </w: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228,895</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5" w:lineRule="exact"/>
        <w:rPr>
          <w:sz w:val="20"/>
          <w:szCs w:val="20"/>
          <w:color w:val="auto"/>
        </w:rPr>
      </w:pPr>
    </w:p>
    <w:p>
      <w:pPr>
        <w:jc w:val="both"/>
        <w:ind w:right="940"/>
        <w:spacing w:after="0" w:line="266" w:lineRule="auto"/>
        <w:rPr>
          <w:sz w:val="20"/>
          <w:szCs w:val="20"/>
          <w:color w:val="auto"/>
        </w:rPr>
      </w:pPr>
      <w:r>
        <w:rPr>
          <w:rFonts w:ascii="Times New Roman" w:cs="Times New Roman" w:eastAsia="Times New Roman" w:hAnsi="Times New Roman"/>
          <w:sz w:val="18"/>
          <w:szCs w:val="18"/>
          <w:color w:val="231F20"/>
        </w:rPr>
        <w:t>Trade Receivables correspond to uncollateralized gross amounts due from acquirers, processors, merchants and preferred suppliers for services performed that will be collected in less than one year, so they are classified as current. No financial assets are past-due and all Trade and other receivables are categorized as within “normal” credit risk rating.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231F20"/>
        </w:rPr>
        <w:t>Loss allowance and impairment losses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evolution of the loss allowance: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80" w:type="dxa"/>
            <w:vAlign w:val="bottom"/>
            <w:gridSpan w:val="2"/>
          </w:tcPr>
          <w:p>
            <w:pPr>
              <w:ind w:left="8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Pr>
          <w:p>
            <w:pPr>
              <w:spacing w:after="0"/>
              <w:rPr>
                <w:sz w:val="18"/>
                <w:szCs w:val="18"/>
                <w:color w:val="auto"/>
              </w:rPr>
            </w:pPr>
          </w:p>
        </w:tc>
        <w:tc>
          <w:tcPr>
            <w:tcW w:w="18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Opening book value as at January 1</w:t>
            </w:r>
          </w:p>
        </w:tc>
        <w:tc>
          <w:tcPr>
            <w:tcW w:w="116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196"/>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Decrease/(increase) in loss allowance for trade receivables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1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96"/>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as at September 30</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impairment gain/(loss) on financial assets</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-565150</wp:posOffset>
            </wp:positionV>
            <wp:extent cx="11112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145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Initial recognition and subsequent measurement the Group applies the simplified approach to determine expected credit losses on trade receivables.</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231F20"/>
        </w:rPr>
        <w:t>To measure the expected credit losses, trade and other receivables have been grouped based on shared credit risk characteristics and the days past due (only 0-30 past due bucket as of September 30, 2022 and December 31, 2021 because there are no other material buckets of the outstanding receivables).</w:t>
      </w:r>
    </w:p>
    <w:p>
      <w:pPr>
        <w:spacing w:after="0" w:line="126"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231F20"/>
        </w:rPr>
        <w:t>The expected loss rates are based on the payment profiles of debtors over a period of 36 months before year end and the corresponding historical credit losses experienced within this period. The historical loss rate is adjusted to reflect current and forward-looking information on credit risk ratings of the countries in which the Group sells its services which affects the ability of the debtors to settle the receivables. On that basis, the average expected credit loss rate of the 0-30 past due bucket was determined at 0.2% for the nine months ended September 30, 2022 (0.1% in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231F20"/>
        </w:rPr>
        <w:t>15.  Other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assets are composed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Money held in escrow for: (i)</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-Requirements for other processors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-Credit card requirements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guarantees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assets (ii)</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Other Assets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3,937</w:t>
            </w:r>
          </w:p>
        </w:tc>
        <w:tc>
          <w:tcPr>
            <w:tcW w:w="18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-814070</wp:posOffset>
            </wp:positionV>
            <wp:extent cx="111125"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Comprises money held in escrow in order to constitute a fund required by processors.</w:t>
      </w:r>
    </w:p>
    <w:p>
      <w:pPr>
        <w:spacing w:after="0" w:line="27" w:lineRule="exact"/>
        <w:rPr>
          <w:rFonts w:ascii="Times New Roman" w:cs="Times New Roman" w:eastAsia="Times New Roman" w:hAnsi="Times New Roman"/>
          <w:sz w:val="18"/>
          <w:szCs w:val="18"/>
          <w:color w:val="231F20"/>
        </w:rPr>
      </w:pPr>
    </w:p>
    <w:p>
      <w:pPr>
        <w:ind w:left="760" w:right="140" w:hanging="378"/>
        <w:spacing w:after="0" w:line="270" w:lineRule="auto"/>
        <w:tabs>
          <w:tab w:leader="none" w:pos="760" w:val="left"/>
        </w:tabs>
        <w:numPr>
          <w:ilvl w:val="0"/>
          <w:numId w:val="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2020 the Group signed with a Merchant a letter of agreement (the “Agreement”) where the Group agreed to pay USD 400 to the Merchant in exchange of a minimum amount of revenue in the period between August 24</w:t>
      </w:r>
      <w:r>
        <w:rPr>
          <w:rFonts w:ascii="Times New Roman" w:cs="Times New Roman" w:eastAsia="Times New Roman" w:hAnsi="Times New Roman"/>
          <w:sz w:val="10"/>
          <w:szCs w:val="10"/>
          <w:color w:val="231F20"/>
        </w:rPr>
        <w:t>th</w:t>
      </w:r>
      <w:r>
        <w:rPr>
          <w:rFonts w:ascii="Times New Roman" w:cs="Times New Roman" w:eastAsia="Times New Roman" w:hAnsi="Times New Roman"/>
          <w:sz w:val="17"/>
          <w:szCs w:val="17"/>
          <w:color w:val="231F20"/>
        </w:rPr>
        <w:t>, 2020 and September 30</w:t>
      </w:r>
      <w:r>
        <w:rPr>
          <w:rFonts w:ascii="Times New Roman" w:cs="Times New Roman" w:eastAsia="Times New Roman" w:hAnsi="Times New Roman"/>
          <w:sz w:val="10"/>
          <w:szCs w:val="10"/>
          <w:color w:val="231F20"/>
        </w:rPr>
        <w:t>th</w:t>
      </w:r>
      <w:r>
        <w:rPr>
          <w:rFonts w:ascii="Times New Roman" w:cs="Times New Roman" w:eastAsia="Times New Roman" w:hAnsi="Times New Roman"/>
          <w:sz w:val="17"/>
          <w:szCs w:val="17"/>
          <w:color w:val="231F20"/>
        </w:rPr>
        <w:t>, 2022. During the nine months ended September 30, 2022 and 2021, this asset was reduced in USD 457 and USD 150, respectively, and accounted for as a reduction of revenues. Additionally, the Group signed an agreement with another Merchant where the Group agreed to pay USD 360 to the Merchant in exchange of a minimum amount of revenue during 2021 and for being retained as the provider of at least the 90% of the transacted volume in all markets where dLocal offers a complete payment solution in the same. Such agreement was already paid in 2021 and included within “Prepaid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231F20"/>
        </w:rPr>
        <w:t>16.  Intangible Assets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231F20"/>
        </w:rPr>
        <w:t>Intangible assets of the Group correspond to acquired software as well as to capitalized expenses related to internally generated software and are stated at cost less accumulated amortization.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20" w:type="dxa"/>
            <w:vAlign w:val="bottom"/>
          </w:tcPr>
          <w:p>
            <w:pPr>
              <w:jc w:val="right"/>
              <w:ind w:right="99"/>
              <w:spacing w:after="0" w:line="148" w:lineRule="exact"/>
              <w:rPr>
                <w:sz w:val="20"/>
                <w:szCs w:val="20"/>
                <w:color w:val="auto"/>
              </w:rPr>
            </w:pPr>
            <w:r>
              <w:rPr>
                <w:rFonts w:ascii="Times New Roman" w:cs="Times New Roman" w:eastAsia="Times New Roman" w:hAnsi="Times New Roman"/>
                <w:sz w:val="16"/>
                <w:szCs w:val="16"/>
                <w:b w:val="1"/>
                <w:bCs w:val="1"/>
                <w:color w:val="auto"/>
              </w:rPr>
              <w:t>Internally</w:t>
            </w:r>
          </w:p>
        </w:tc>
        <w:tc>
          <w:tcPr>
            <w:tcW w:w="10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9"/>
              </w:rPr>
              <w:t>Acquired</w:t>
            </w:r>
          </w:p>
        </w:tc>
        <w:tc>
          <w:tcPr>
            <w:tcW w:w="100" w:type="dxa"/>
            <w:vAlign w:val="bottom"/>
          </w:tcPr>
          <w:p>
            <w:pPr>
              <w:spacing w:after="0"/>
              <w:rPr>
                <w:sz w:val="12"/>
                <w:szCs w:val="12"/>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2"/>
                <w:szCs w:val="12"/>
                <w:color w:val="auto"/>
              </w:rPr>
            </w:pPr>
          </w:p>
        </w:tc>
        <w:tc>
          <w:tcPr>
            <w:tcW w:w="1000" w:type="dxa"/>
            <w:vAlign w:val="bottom"/>
          </w:tcPr>
          <w:p>
            <w:pPr>
              <w:jc w:val="right"/>
              <w:ind w:right="79"/>
              <w:spacing w:after="0" w:line="148" w:lineRule="exact"/>
              <w:rPr>
                <w:sz w:val="20"/>
                <w:szCs w:val="20"/>
                <w:color w:val="auto"/>
              </w:rPr>
            </w:pPr>
            <w:r>
              <w:rPr>
                <w:rFonts w:ascii="Times New Roman" w:cs="Times New Roman" w:eastAsia="Times New Roman" w:hAnsi="Times New Roman"/>
                <w:sz w:val="16"/>
                <w:szCs w:val="16"/>
                <w:b w:val="1"/>
                <w:bCs w:val="1"/>
                <w:color w:val="auto"/>
              </w:rPr>
              <w:t>Internally</w:t>
            </w:r>
          </w:p>
        </w:tc>
        <w:tc>
          <w:tcPr>
            <w:tcW w:w="12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9"/>
              </w:rPr>
              <w:t>Acquired</w:t>
            </w:r>
          </w:p>
        </w:tc>
        <w:tc>
          <w:tcPr>
            <w:tcW w:w="100" w:type="dxa"/>
            <w:vAlign w:val="bottom"/>
          </w:tcPr>
          <w:p>
            <w:pPr>
              <w:spacing w:after="0"/>
              <w:rPr>
                <w:sz w:val="12"/>
                <w:szCs w:val="12"/>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20" w:type="dxa"/>
            <w:vAlign w:val="bottom"/>
          </w:tcPr>
          <w:p>
            <w:pPr>
              <w:jc w:val="right"/>
              <w:ind w:right="119"/>
              <w:spacing w:after="0" w:line="173" w:lineRule="exact"/>
              <w:rPr>
                <w:sz w:val="20"/>
                <w:szCs w:val="20"/>
                <w:color w:val="auto"/>
              </w:rPr>
            </w:pPr>
            <w:r>
              <w:rPr>
                <w:rFonts w:ascii="Times New Roman" w:cs="Times New Roman" w:eastAsia="Times New Roman" w:hAnsi="Times New Roman"/>
                <w:sz w:val="16"/>
                <w:szCs w:val="16"/>
                <w:b w:val="1"/>
                <w:bCs w:val="1"/>
                <w:color w:val="auto"/>
              </w:rPr>
              <w:t>generated</w:t>
            </w:r>
          </w:p>
        </w:tc>
        <w:tc>
          <w:tcPr>
            <w:tcW w:w="100" w:type="dxa"/>
            <w:vAlign w:val="bottom"/>
          </w:tcPr>
          <w:p>
            <w:pPr>
              <w:spacing w:after="0"/>
              <w:rPr>
                <w:sz w:val="15"/>
                <w:szCs w:val="15"/>
                <w:color w:val="auto"/>
              </w:rPr>
            </w:pPr>
          </w:p>
        </w:tc>
        <w:tc>
          <w:tcPr>
            <w:tcW w:w="10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intangible</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99"/>
              <w:spacing w:after="0" w:line="173" w:lineRule="exact"/>
              <w:rPr>
                <w:sz w:val="20"/>
                <w:szCs w:val="20"/>
                <w:color w:val="auto"/>
              </w:rPr>
            </w:pPr>
            <w:r>
              <w:rPr>
                <w:rFonts w:ascii="Times New Roman" w:cs="Times New Roman" w:eastAsia="Times New Roman" w:hAnsi="Times New Roman"/>
                <w:sz w:val="16"/>
                <w:szCs w:val="16"/>
                <w:b w:val="1"/>
                <w:bCs w:val="1"/>
                <w:color w:val="auto"/>
              </w:rPr>
              <w:t>generated</w:t>
            </w:r>
          </w:p>
        </w:tc>
        <w:tc>
          <w:tcPr>
            <w:tcW w:w="120" w:type="dxa"/>
            <w:vAlign w:val="bottom"/>
          </w:tcPr>
          <w:p>
            <w:pPr>
              <w:spacing w:after="0"/>
              <w:rPr>
                <w:sz w:val="15"/>
                <w:szCs w:val="15"/>
                <w:color w:val="auto"/>
              </w:rPr>
            </w:pPr>
          </w:p>
        </w:tc>
        <w:tc>
          <w:tcPr>
            <w:tcW w:w="100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intangible</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software</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(ii)</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12,387</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39,335</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51,722</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Opening book value as at January 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9,208</w:t>
            </w:r>
          </w:p>
        </w:tc>
        <w:tc>
          <w:tcPr>
            <w:tcW w:w="1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37,761</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46,969</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4,153</w:t>
            </w: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4,153</w:t>
            </w:r>
          </w:p>
        </w:tc>
        <w:tc>
          <w:tcPr>
            <w:tcW w:w="0" w:type="dxa"/>
            <w:vAlign w:val="bottom"/>
          </w:tcPr>
          <w:p>
            <w:pPr>
              <w:spacing w:after="0"/>
              <w:rPr>
                <w:sz w:val="1"/>
                <w:szCs w:val="1"/>
                <w:color w:val="auto"/>
              </w:rPr>
            </w:pPr>
          </w:p>
        </w:tc>
      </w:tr>
      <w:tr>
        <w:trPr>
          <w:trHeight w:val="20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(i)</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44,240</w:t>
            </w:r>
          </w:p>
        </w:tc>
        <w:tc>
          <w:tcPr>
            <w:tcW w:w="0" w:type="dxa"/>
            <w:vAlign w:val="bottom"/>
          </w:tcPr>
          <w:p>
            <w:pPr>
              <w:spacing w:after="0"/>
              <w:rPr>
                <w:sz w:val="1"/>
                <w:szCs w:val="1"/>
                <w:color w:val="auto"/>
              </w:rPr>
            </w:pPr>
          </w:p>
        </w:tc>
      </w:tr>
      <w:tr>
        <w:trPr>
          <w:trHeight w:val="20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the period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 at September 30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36,188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49,875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7,513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38,286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45,799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20,102</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39,335</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59,437</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9,892</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39,335</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49,227</w:t>
            </w:r>
          </w:p>
        </w:tc>
        <w:tc>
          <w:tcPr>
            <w:tcW w:w="0" w:type="dxa"/>
            <w:vAlign w:val="bottom"/>
          </w:tcPr>
          <w:p>
            <w:pPr>
              <w:spacing w:after="0"/>
              <w:rPr>
                <w:sz w:val="1"/>
                <w:szCs w:val="1"/>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-424180</wp:posOffset>
            </wp:positionV>
            <wp:extent cx="68580" cy="1631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-424180</wp:posOffset>
            </wp:positionV>
            <wp:extent cx="68580" cy="1631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-424180</wp:posOffset>
            </wp:positionV>
            <wp:extent cx="68580" cy="1631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-424180</wp:posOffset>
            </wp:positionV>
            <wp:extent cx="68580" cy="163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-424180</wp:posOffset>
            </wp:positionV>
            <wp:extent cx="68580" cy="1631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880" w:firstLine="8"/>
        <w:spacing w:after="0" w:line="282" w:lineRule="auto"/>
        <w:tabs>
          <w:tab w:leader="none" w:pos="3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additions of the nine months ended September 30, 2022 include USD 7,706 related to capitalized salaries and wages (USD 4,704 as of September 30,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180" w:type="dxa"/>
            <w:vAlign w:val="bottom"/>
          </w:tcPr>
          <w:p>
            <w:pPr>
              <w:spacing w:after="0"/>
              <w:rPr>
                <w:sz w:val="16"/>
                <w:szCs w:val="16"/>
                <w:color w:val="auto"/>
              </w:rPr>
            </w:pPr>
          </w:p>
        </w:tc>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118"/>
        </w:trPr>
        <w:tc>
          <w:tcPr>
            <w:tcW w:w="7660" w:type="dxa"/>
            <w:vAlign w:val="bottom"/>
          </w:tcPr>
          <w:p>
            <w:pPr>
              <w:spacing w:after="0"/>
              <w:rPr>
                <w:sz w:val="10"/>
                <w:szCs w:val="10"/>
                <w:color w:val="auto"/>
              </w:rPr>
            </w:pPr>
          </w:p>
        </w:tc>
        <w:tc>
          <w:tcPr>
            <w:tcW w:w="16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660" w:type="dxa"/>
            <w:vAlign w:val="bottom"/>
          </w:tcPr>
          <w:p>
            <w:pPr>
              <w:spacing w:after="0"/>
              <w:rPr>
                <w:sz w:val="7"/>
                <w:szCs w:val="7"/>
                <w:color w:val="auto"/>
              </w:rPr>
            </w:pPr>
          </w:p>
        </w:tc>
        <w:tc>
          <w:tcPr>
            <w:tcW w:w="1660" w:type="dxa"/>
            <w:vAlign w:val="bottom"/>
            <w:tcBorders>
              <w:bottom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16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color w:val="auto"/>
              </w:rPr>
              <w:t>59,437</w:t>
            </w:r>
          </w:p>
        </w:tc>
        <w:tc>
          <w:tcPr>
            <w:tcW w:w="180" w:type="dxa"/>
            <w:vAlign w:val="bottom"/>
          </w:tcPr>
          <w:p>
            <w:pPr>
              <w:spacing w:after="0"/>
              <w:rPr>
                <w:sz w:val="17"/>
                <w:szCs w:val="17"/>
                <w:color w:val="auto"/>
              </w:rPr>
            </w:pPr>
          </w:p>
        </w:tc>
        <w:tc>
          <w:tcPr>
            <w:tcW w:w="17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51,722</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98"/>
              </w:rPr>
              <w:t>(9,562)</w:t>
            </w:r>
          </w:p>
        </w:tc>
        <w:tc>
          <w:tcPr>
            <w:tcW w:w="180" w:type="dxa"/>
            <w:vAlign w:val="bottom"/>
          </w:tcPr>
          <w:p>
            <w:pPr>
              <w:spacing w:after="0"/>
              <w:rPr>
                <w:sz w:val="17"/>
                <w:szCs w:val="17"/>
                <w:color w:val="auto"/>
              </w:rPr>
            </w:pPr>
          </w:p>
        </w:tc>
        <w:tc>
          <w:tcPr>
            <w:tcW w:w="17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w w:val="98"/>
              </w:rPr>
              <w:t>(4,753)</w:t>
            </w: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book amount</w:t>
            </w:r>
          </w:p>
        </w:tc>
        <w:tc>
          <w:tcPr>
            <w:tcW w:w="16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6"/>
                <w:szCs w:val="16"/>
                <w:b w:val="1"/>
                <w:bCs w:val="1"/>
                <w:color w:val="auto"/>
              </w:rPr>
              <w:t>49,875</w:t>
            </w:r>
          </w:p>
        </w:tc>
        <w:tc>
          <w:tcPr>
            <w:tcW w:w="180" w:type="dxa"/>
            <w:vAlign w:val="bottom"/>
          </w:tcPr>
          <w:p>
            <w:pPr>
              <w:spacing w:after="0"/>
              <w:rPr>
                <w:sz w:val="17"/>
                <w:szCs w:val="17"/>
                <w:color w:val="auto"/>
              </w:rPr>
            </w:pPr>
          </w:p>
        </w:tc>
        <w:tc>
          <w:tcPr>
            <w:tcW w:w="17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6"/>
                <w:szCs w:val="16"/>
                <w:b w:val="1"/>
                <w:bCs w:val="1"/>
                <w:color w:val="auto"/>
              </w:rPr>
              <w:t>46,969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As of September 30, 2022 , and December 31, 2021 no indicator of impairment related to intangible assets existed, so the Group did not perform an impairment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231F20"/>
        </w:rPr>
        <w:t>17.  Trade and other payables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Trade and Other Payables are composed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Trade Payables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405,243</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269,227</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3,173</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Payables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12,622</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4,760</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Trade and other payables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423,606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277,160</w:t>
            </w:r>
          </w:p>
        </w:tc>
      </w:tr>
      <w:tr>
        <w:trPr>
          <w:trHeight w:val="20"/>
        </w:trPr>
        <w:tc>
          <w:tcPr>
            <w:tcW w:w="77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-162560</wp:posOffset>
            </wp:positionV>
            <wp:extent cx="111125"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163195"/>
                    </a:xfrm>
                    <a:prstGeom prst="rect">
                      <a:avLst/>
                    </a:prstGeom>
                    <a:noFill/>
                  </pic:spPr>
                </pic:pic>
              </a:graphicData>
            </a:graphic>
          </wp:anchor>
        </w:drawing>
      </w:r>
    </w:p>
    <w:p>
      <w:pPr>
        <w:spacing w:after="0" w:line="1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31F20"/>
        </w:rPr>
        <w:t>These payables are classified as current liabilities as the payment is due within one year or less. Moreover, the carrying amounts are considered to be the same as fair values, due to their short – term nature.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Trade Payables correspond to liabilities with Merchants, either related to payin transactions processed or payout transactions to be processed at their request. Accrued Liabilities mainly correspond to obligations with legal and tax advisors, and auditors. Other Payables mainly correspond to obligations related to processors´ costs and the acquisitions of office goods and services necessary for the ordinary course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231F20"/>
        </w:rPr>
        <w:t>18.  Borrowings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the year 2021, dLocal has received borrowings from a financial institution in Brazilian Reais (BRZ) amounting to USD 5,000 (BRZ 27 million) for working capital, with expiration date on April 19, 2022 and accruing interest at an annual fixed interest rate of 1.85%. The total outstanding as of December 31, 2021 amounts to USD 5,014 and is disclosed in the line "Borrowings". Such borrowings were repaid d</w:t>
      </w:r>
      <w:r>
        <w:rPr>
          <w:rFonts w:ascii="Times New Roman" w:cs="Times New Roman" w:eastAsia="Times New Roman" w:hAnsi="Times New Roman"/>
          <w:sz w:val="18"/>
          <w:szCs w:val="18"/>
          <w:color w:val="231F20"/>
        </w:rPr>
        <w:t>uring April 2022.</w:t>
      </w:r>
    </w:p>
    <w:p>
      <w:pPr>
        <w:spacing w:after="0" w:line="17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April 19, 2022, dLocal has received two borrowings from a financial institution in Brazilian Reais (BRZ 37.5 million each) amounting to a total of USD 15.8 million, with expiration date on January 16, 2023 and accruing interest at an annual variable interest rate equivalent to the Brazilian Interbank Deposit (Certificado de Depósito Interbancário, or “CDI”) rate plus 1.70% and 118.14% of the CDI, respectively. The total outstanding as of September 30, 2022 amounts to USD 14,782 and is disclosed in the line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231F20"/>
        </w:rPr>
        <w:t>19.  Tax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tax liabilities breakdown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payable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tax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11,186</w:t>
            </w:r>
          </w:p>
        </w:tc>
      </w:tr>
      <w:tr>
        <w:trPr>
          <w:trHeight w:val="19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perception</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7,490</w:t>
            </w: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Digital services withholding VAT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2,796</w:t>
            </w: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Taxes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Tax Liabilities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11,885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13,126</w:t>
            </w:r>
          </w:p>
        </w:tc>
      </w:tr>
      <w:tr>
        <w:trPr>
          <w:trHeight w:val="20"/>
        </w:trPr>
        <w:tc>
          <w:tcPr>
            <w:tcW w:w="77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7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-410845</wp:posOffset>
            </wp:positionV>
            <wp:extent cx="111125"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right="8400" w:firstLine="8"/>
        <w:spacing w:after="0" w:line="433" w:lineRule="auto"/>
        <w:tabs>
          <w:tab w:leader="none" w:pos="360" w:val="left"/>
        </w:tabs>
        <w:numPr>
          <w:ilvl w:val="0"/>
          <w:numId w:val="4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Derivative financial instruments </w:t>
      </w:r>
      <w:r>
        <w:rPr>
          <w:rFonts w:ascii="Times New Roman" w:cs="Times New Roman" w:eastAsia="Times New Roman" w:hAnsi="Times New Roman"/>
          <w:sz w:val="17"/>
          <w:szCs w:val="17"/>
          <w:i w:val="1"/>
          <w:iCs w:val="1"/>
          <w:color w:val="000000"/>
        </w:rPr>
        <w:t>Other derivative financial instruments</w:t>
      </w:r>
    </w:p>
    <w:p>
      <w:pPr>
        <w:spacing w:after="0" w:line="2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31F20"/>
        </w:rPr>
        <w:t>September 30, 2022 and the</w:t>
      </w:r>
      <w:r>
        <w:rPr>
          <w:rFonts w:ascii="Times New Roman" w:cs="Times New Roman" w:eastAsia="Times New Roman" w:hAnsi="Times New Roman"/>
          <w:sz w:val="18"/>
          <w:szCs w:val="18"/>
          <w:color w:val="auto"/>
        </w:rPr>
        <w:t xml:space="preserve"> year-ended December 31, 2021, dLocal entered into short-term derivative contracts (delivery and non-delivery forwards) with different counterparties in different countries in which the Group operates, according to the following detail: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40" w:type="dxa"/>
            <w:vAlign w:val="bottom"/>
          </w:tcPr>
          <w:p>
            <w:pPr>
              <w:spacing w:after="0"/>
              <w:rPr>
                <w:sz w:val="15"/>
                <w:szCs w:val="15"/>
                <w:color w:val="auto"/>
              </w:rPr>
            </w:pPr>
          </w:p>
        </w:tc>
        <w:tc>
          <w:tcPr>
            <w:tcW w:w="138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September30, 2022</w:t>
            </w:r>
          </w:p>
        </w:tc>
        <w:tc>
          <w:tcPr>
            <w:tcW w:w="140" w:type="dxa"/>
            <w:vAlign w:val="bottom"/>
          </w:tcPr>
          <w:p>
            <w:pPr>
              <w:spacing w:after="0"/>
              <w:rPr>
                <w:sz w:val="15"/>
                <w:szCs w:val="15"/>
                <w:color w:val="auto"/>
              </w:rPr>
            </w:pPr>
          </w:p>
        </w:tc>
        <w:tc>
          <w:tcPr>
            <w:tcW w:w="12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notional amount</w:t>
            </w:r>
          </w:p>
        </w:tc>
        <w:tc>
          <w:tcPr>
            <w:tcW w:w="12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0" w:type="dxa"/>
            <w:vAlign w:val="bottom"/>
          </w:tcPr>
          <w:p>
            <w:pPr>
              <w:spacing w:after="0"/>
              <w:rPr>
                <w:sz w:val="1"/>
                <w:szCs w:val="1"/>
                <w:color w:val="auto"/>
              </w:rPr>
            </w:pPr>
          </w:p>
        </w:tc>
      </w:tr>
      <w:tr>
        <w:trPr>
          <w:trHeight w:val="164"/>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USD as of</w:t>
            </w:r>
          </w:p>
        </w:tc>
        <w:tc>
          <w:tcPr>
            <w:tcW w:w="140" w:type="dxa"/>
            <w:vAlign w:val="bottom"/>
          </w:tcPr>
          <w:p>
            <w:pPr>
              <w:spacing w:after="0"/>
              <w:rPr>
                <w:sz w:val="14"/>
                <w:szCs w:val="14"/>
                <w:color w:val="auto"/>
              </w:rPr>
            </w:pPr>
          </w:p>
        </w:tc>
        <w:tc>
          <w:tcPr>
            <w:tcW w:w="13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 Derivative</w:t>
            </w:r>
          </w:p>
        </w:tc>
        <w:tc>
          <w:tcPr>
            <w:tcW w:w="140" w:type="dxa"/>
            <w:vAlign w:val="bottom"/>
          </w:tcPr>
          <w:p>
            <w:pPr>
              <w:spacing w:after="0"/>
              <w:rPr>
                <w:sz w:val="14"/>
                <w:szCs w:val="14"/>
                <w:color w:val="auto"/>
              </w:rPr>
            </w:pP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in USD as of</w:t>
            </w:r>
          </w:p>
        </w:tc>
        <w:tc>
          <w:tcPr>
            <w:tcW w:w="120" w:type="dxa"/>
            <w:vAlign w:val="bottom"/>
          </w:tcPr>
          <w:p>
            <w:pPr>
              <w:spacing w:after="0"/>
              <w:rPr>
                <w:sz w:val="14"/>
                <w:szCs w:val="14"/>
                <w:color w:val="auto"/>
              </w:rPr>
            </w:pPr>
          </w:p>
        </w:tc>
        <w:tc>
          <w:tcPr>
            <w:tcW w:w="13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7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4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Type of Forward</w:t>
            </w:r>
          </w:p>
        </w:tc>
        <w:tc>
          <w:tcPr>
            <w:tcW w:w="16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Local currency</w:t>
            </w:r>
          </w:p>
        </w:tc>
        <w:tc>
          <w:tcPr>
            <w:tcW w:w="1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financial assets /</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 Derivative</w:t>
            </w:r>
          </w:p>
        </w:tc>
        <w:tc>
          <w:tcPr>
            <w:tcW w:w="0" w:type="dxa"/>
            <w:vAlign w:val="bottom"/>
          </w:tcPr>
          <w:p>
            <w:pPr>
              <w:spacing w:after="0"/>
              <w:rPr>
                <w:sz w:val="1"/>
                <w:szCs w:val="1"/>
                <w:color w:val="auto"/>
              </w:rPr>
            </w:pPr>
          </w:p>
        </w:tc>
      </w:tr>
      <w:tr>
        <w:trPr>
          <w:trHeight w:val="212"/>
        </w:trPr>
        <w:tc>
          <w:tcPr>
            <w:tcW w:w="1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Transaction</w:t>
            </w:r>
          </w:p>
        </w:tc>
        <w:tc>
          <w:tcPr>
            <w:tcW w:w="16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15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0" w:type="dxa"/>
            <w:vAlign w:val="bottom"/>
          </w:tcPr>
          <w:p>
            <w:pPr>
              <w:spacing w:after="0"/>
              <w:rPr>
                <w:sz w:val="1"/>
                <w:szCs w:val="1"/>
                <w:color w:val="auto"/>
              </w:rPr>
            </w:pPr>
          </w:p>
        </w:tc>
      </w:tr>
      <w:tr>
        <w:trPr>
          <w:trHeight w:val="200"/>
        </w:trPr>
        <w:tc>
          <w:tcPr>
            <w:tcW w:w="1840" w:type="dxa"/>
            <w:vAlign w:val="bottom"/>
            <w:tcBorders>
              <w:top w:val="single" w:sz="8" w:color="auto"/>
            </w:tcBorders>
            <w:shd w:val="clear" w:color="auto" w:fill="CFF0FC"/>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Brazilian Reais</w:t>
            </w:r>
          </w:p>
        </w:tc>
        <w:tc>
          <w:tcPr>
            <w:tcW w:w="16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11,646,399</w:t>
            </w:r>
          </w:p>
        </w:tc>
        <w:tc>
          <w:tcPr>
            <w:tcW w:w="1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5,500,000</w:t>
            </w:r>
          </w:p>
        </w:tc>
        <w:tc>
          <w:tcPr>
            <w:tcW w:w="1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Sell USD</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Brazilian Reais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184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Argentine Peso</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21,000,000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2,500,000</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Sell USD</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Argentine Peso</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Delivery forwards </w:t>
            </w:r>
            <w:r>
              <w:rPr>
                <w:rFonts w:ascii="Times New Roman" w:cs="Times New Roman" w:eastAsia="Times New Roman" w:hAnsi="Times New Roman"/>
                <w:sz w:val="21"/>
                <w:szCs w:val="21"/>
                <w:color w:val="auto"/>
                <w:vertAlign w:val="superscript"/>
              </w:rPr>
              <w:t>(1)(2)</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Chilean Peso</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12,821,515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12,391,928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Delivery forwards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Uruguayan Peso</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1,875,602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Egyptian Pound</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13,881,637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Non-delivery forwards</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Buy EUR</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Moroccan Dirham</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5,715,126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Nigerian naira</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10,306,138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Indian Rupee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2,949,743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Non-delivery forwards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Buy USD</w:t>
            </w:r>
          </w:p>
        </w:tc>
        <w:tc>
          <w:tcPr>
            <w:tcW w:w="16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South African Rand</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5,737,156</w:t>
            </w: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1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-142875</wp:posOffset>
            </wp:positionV>
            <wp:extent cx="9398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137160"/>
                    </a:xfrm>
                    <a:prstGeom prst="rect">
                      <a:avLst/>
                    </a:prstGeom>
                    <a:noFill/>
                  </pic:spPr>
                </pic:pic>
              </a:graphicData>
            </a:graphic>
          </wp:anchor>
        </w:drawing>
      </w:r>
    </w:p>
    <w:p>
      <w:pPr>
        <w:spacing w:after="0" w:line="154" w:lineRule="exact"/>
        <w:rPr>
          <w:sz w:val="20"/>
          <w:szCs w:val="20"/>
          <w:color w:val="auto"/>
        </w:rPr>
      </w:pPr>
    </w:p>
    <w:p>
      <w:pPr>
        <w:ind w:right="40" w:firstLine="8"/>
        <w:spacing w:after="0" w:line="243" w:lineRule="auto"/>
        <w:tabs>
          <w:tab w:leader="none" w:pos="2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31F20"/>
        </w:rPr>
        <w:t>September 30, 2022, dLocal entered into hedge operations of trade and other receivables in Brazilian Reais, Argentine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Peso, Chilean Peso, Uruguayan Peso, Egyptian Pound, Nigerian Naira, Indian Rupee, and South African Rand subject to foreign exchange exposure using delivery and non-delivery forward contracts. The transactions have been elected for hedge accountin</w:t>
      </w:r>
      <w:r>
        <w:rPr>
          <w:rFonts w:ascii="Times New Roman" w:cs="Times New Roman" w:eastAsia="Times New Roman" w:hAnsi="Times New Roman"/>
          <w:sz w:val="18"/>
          <w:szCs w:val="18"/>
          <w:color w:val="000000"/>
        </w:rPr>
        <w:t>g and classified as fair value hedge in accordance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IFRS 9. The Group has elected to designate only the spot element of these forward contracts as the hedging instrument, except in hedges of Uruguayan Peso and Chilean Peso. During the nine months ended September 30, 2022, dLocal recognized a net gain of USD 11,071 included in the line item "Costs of services" related to the effective portion of the change in the spot rate of the hedged currency and a net loss of USD 11,912 included in the line item "Finance costs" related to the implicit interest rate (a net gain of USD 6,856 and a net loss of USD 7,691, respectively, for the three months ended September 30, 2022).</w:t>
      </w:r>
    </w:p>
    <w:p>
      <w:pPr>
        <w:spacing w:after="0" w:line="186"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last quarter of the year-ended December 31, 2021, dLocal entered into hedge operations of trade and other receivables in Chilean Peso</w:t>
      </w:r>
    </w:p>
    <w:p>
      <w:pPr>
        <w:spacing w:after="0" w:line="15" w:lineRule="exact"/>
        <w:rPr>
          <w:rFonts w:ascii="Times New Roman" w:cs="Times New Roman" w:eastAsia="Times New Roman" w:hAnsi="Times New Roman"/>
          <w:sz w:val="18"/>
          <w:szCs w:val="18"/>
          <w:i w:val="1"/>
          <w:iCs w:val="1"/>
          <w:color w:val="auto"/>
        </w:rPr>
      </w:pPr>
    </w:p>
    <w:p>
      <w:pPr>
        <w:ind w:right="24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subject to foreign exchange exposure using the delivery forward contracts. The transactions have been elected for hedge accounting and classified as fair value hedge in accordance with IFRS 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to purchase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ind w:right="300"/>
        <w:spacing w:after="0" w:line="266" w:lineRule="auto"/>
        <w:rPr>
          <w:sz w:val="20"/>
          <w:szCs w:val="20"/>
          <w:color w:val="auto"/>
        </w:rPr>
      </w:pPr>
      <w:r>
        <w:rPr>
          <w:rFonts w:ascii="Times New Roman" w:cs="Times New Roman" w:eastAsia="Times New Roman" w:hAnsi="Times New Roman"/>
          <w:sz w:val="18"/>
          <w:szCs w:val="18"/>
          <w:color w:val="231F20"/>
        </w:rPr>
        <w:t>As of the beginning of the nine months ended September 30, 2021, DLocal Limited had an option agreement in place with one shareholder (“Investor”), pursuant to which the Investor had outstanding options to purchase up to 18,068,000 common shares from certain existing shareholders, or by direct issuance of Company shares, which could be exercised by the Investor on or before December 16, 2021.</w:t>
      </w:r>
    </w:p>
    <w:p>
      <w:pPr>
        <w:spacing w:after="0" w:line="14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231F20"/>
        </w:rPr>
        <w:t>On March 3, 2021, the investor exercised the right to purchase 18,068,000 Class A Ordinary shares in DLocal Group Limited, by acquiring them from other existing shareholders, without being required the issuance of new shares by dLocal. In this sense, as of March 3, 2021 the obligations of dLocal under this agreement have ceased.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Considering that as of December 31, 2020 the derivative financial instrument represented a liability for dLocal of USD 2,896, a gain for the same amount was recognized within Operating profit in the line item “Other operating gain/(loss)” in the Consolidated Condensed Interim Statements of Comprehensive Income 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231F20"/>
        </w:rPr>
        <w:t>21.  Provisions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 Current or potential proceedings</w:t>
      </w:r>
    </w:p>
    <w:p>
      <w:pPr>
        <w:spacing w:after="0" w:line="10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231F20"/>
        </w:rPr>
        <w:t>Provisions for the period are related to current or potential proceedings where the management understands, based on the Group’s legal advisors’ assessment, that it is more likely than not that an outflow of resources will be required to settle the obligation and a reliable estimate can be made of the amount of the obligation.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 Movements in current or potential proceedings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Movements in current or potential proceedings are set out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60" w:type="dxa"/>
            <w:vAlign w:val="bottom"/>
            <w:gridSpan w:val="2"/>
          </w:tcPr>
          <w:p>
            <w:pPr>
              <w:ind w:left="8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Pr>
          <w:p>
            <w:pPr>
              <w:spacing w:after="0"/>
              <w:rPr>
                <w:sz w:val="18"/>
                <w:szCs w:val="18"/>
                <w:color w:val="auto"/>
              </w:rPr>
            </w:pPr>
          </w:p>
        </w:tc>
        <w:tc>
          <w:tcPr>
            <w:tcW w:w="18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 as at January 1</w:t>
            </w:r>
          </w:p>
        </w:tc>
        <w:tc>
          <w:tcPr>
            <w:tcW w:w="1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80" w:type="dxa"/>
            <w:vAlign w:val="bottom"/>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03"/>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Reversal to labor provision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charges for labor provision</w:t>
            </w:r>
          </w:p>
        </w:tc>
        <w:tc>
          <w:tcPr>
            <w:tcW w:w="11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196"/>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amount as at September 30</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2,409</w:t>
            </w:r>
          </w:p>
        </w:tc>
      </w:tr>
      <w:tr>
        <w:trPr>
          <w:trHeight w:val="311"/>
        </w:trPr>
        <w:tc>
          <w:tcPr>
            <w:tcW w:w="7720" w:type="dxa"/>
            <w:vAlign w:val="bottom"/>
            <w:tcBorders>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-359410</wp:posOffset>
            </wp:positionV>
            <wp:extent cx="111125" cy="145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231F20"/>
        </w:rPr>
        <w:t>22.  Related parties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 Related Party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Related party transactions are linked to the options agreement that is reflected in Note 20 of these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 Key Management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compensation of the Executive Team during the period can be analyzed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64"/>
        </w:trPr>
        <w:tc>
          <w:tcPr>
            <w:tcW w:w="582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40" w:type="dxa"/>
            <w:vAlign w:val="bottom"/>
          </w:tcPr>
          <w:p>
            <w:pPr>
              <w:jc w:val="right"/>
              <w:ind w:right="5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4"/>
                <w:szCs w:val="14"/>
                <w:color w:val="auto"/>
              </w:rPr>
            </w:pPr>
          </w:p>
        </w:tc>
        <w:tc>
          <w:tcPr>
            <w:tcW w:w="126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8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employee benefits – Salaries and wages</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employee benefits – Share-based payment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36"/>
        </w:trPr>
        <w:tc>
          <w:tcPr>
            <w:tcW w:w="58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7,680</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6,316</w:t>
            </w: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1,879</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857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857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 Transactions with other 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transactions occurred with related parties: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40" w:type="dxa"/>
            <w:vAlign w:val="bottom"/>
          </w:tcPr>
          <w:p>
            <w:pPr>
              <w:spacing w:after="0"/>
              <w:rPr>
                <w:sz w:val="17"/>
                <w:szCs w:val="17"/>
                <w:color w:val="auto"/>
              </w:rPr>
            </w:pPr>
          </w:p>
        </w:tc>
        <w:tc>
          <w:tcPr>
            <w:tcW w:w="26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75"/>
        </w:trPr>
        <w:tc>
          <w:tcPr>
            <w:tcW w:w="582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40" w:type="dxa"/>
            <w:vAlign w:val="bottom"/>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5820" w:type="dxa"/>
            <w:vAlign w:val="bottom"/>
          </w:tcPr>
          <w:p>
            <w:pPr>
              <w:spacing w:after="0"/>
              <w:rPr>
                <w:sz w:val="17"/>
                <w:szCs w:val="17"/>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8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merchants – Revenues</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4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660</w:t>
            </w: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Transactions with preferred suppliers (Collection agents) –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w w:val="97"/>
              </w:rPr>
              <w:t>(28)</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 Outstanding balances arising from transactions with other 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balances are outstanding at the end of the reporting period in relation to transactions with related parties: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merchants – accounts payable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Transactions with preferred suppliers (Collection agents) – accounts payable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preferred suppliers (Collection agents) –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6,058</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All transactions with related parties were made on normal commercial terms and conditions and at market rates. Outstanding balances are unsecured and are repayable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231F20"/>
        </w:rPr>
        <w:t>23.  Cash flow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non-cash transactions are detailed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520" w:type="dxa"/>
            <w:vAlign w:val="bottom"/>
            <w:gridSpan w:val="3"/>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7720" w:type="dxa"/>
            <w:vAlign w:val="bottom"/>
          </w:tcPr>
          <w:p>
            <w:pPr>
              <w:spacing w:after="0"/>
              <w:rPr>
                <w:sz w:val="18"/>
                <w:szCs w:val="18"/>
                <w:color w:val="auto"/>
              </w:rPr>
            </w:pPr>
          </w:p>
        </w:tc>
        <w:tc>
          <w:tcPr>
            <w:tcW w:w="1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September 30, 2021</w:t>
            </w:r>
          </w:p>
        </w:tc>
      </w:tr>
      <w:tr>
        <w:trPr>
          <w:trHeight w:val="202"/>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 recognition with an increase in Lease liabilities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318"/>
        </w:trPr>
        <w:tc>
          <w:tcPr>
            <w:tcW w:w="77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231F20"/>
        </w:rPr>
        <w:t>24.  Fair value hierarchy</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231F20"/>
        </w:rPr>
        <w:t>The following tables show financial instruments recognized at fair value for the period ended September 30, 2022 and December 31, 2021, analyzed between those whose fair value is based on:</w:t>
      </w:r>
    </w:p>
    <w:p>
      <w:pPr>
        <w:spacing w:after="0" w:line="6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quoted (unadjusted) prices in active markets for identical assets or liabilities.</w:t>
      </w:r>
    </w:p>
    <w:p>
      <w:pPr>
        <w:spacing w:after="0" w:line="117"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other techniques for which all inputs which have a significant effect on the recorded fair value are observable, either directly or indirectly.</w:t>
      </w:r>
    </w:p>
    <w:p>
      <w:pPr>
        <w:spacing w:after="0" w:line="117" w:lineRule="exact"/>
        <w:rPr>
          <w:rFonts w:ascii="Times New Roman" w:cs="Times New Roman" w:eastAsia="Times New Roman" w:hAnsi="Times New Roman"/>
          <w:sz w:val="18"/>
          <w:szCs w:val="18"/>
          <w:color w:val="231F20"/>
        </w:rPr>
      </w:pPr>
    </w:p>
    <w:p>
      <w:pPr>
        <w:ind w:left="360" w:hanging="352"/>
        <w:spacing w:after="0"/>
        <w:tabs>
          <w:tab w:leader="none" w:pos="3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techniques which use inputs which have a significant effect on the recorded fair value that are not based upon observable market data.</w:t>
      </w:r>
    </w:p>
    <w:p>
      <w:pPr>
        <w:spacing w:after="0" w:line="360" w:lineRule="exact"/>
        <w:rPr>
          <w:sz w:val="20"/>
          <w:szCs w:val="20"/>
          <w:color w:val="auto"/>
        </w:rPr>
      </w:pPr>
    </w:p>
    <w:p>
      <w:pPr>
        <w:ind w:right="1360"/>
        <w:spacing w:after="0" w:line="282" w:lineRule="auto"/>
        <w:rPr>
          <w:sz w:val="20"/>
          <w:szCs w:val="20"/>
          <w:color w:val="auto"/>
        </w:rPr>
      </w:pPr>
      <w:r>
        <w:rPr>
          <w:rFonts w:ascii="Times New Roman" w:cs="Times New Roman" w:eastAsia="Times New Roman" w:hAnsi="Times New Roman"/>
          <w:sz w:val="18"/>
          <w:szCs w:val="18"/>
          <w:color w:val="231F20"/>
        </w:rPr>
        <w:t>The table also includes financial instruments measured at amortized cost. The Group understands that the book value of such instruments approximates their fair value.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16"/>
                <w:szCs w:val="16"/>
                <w:color w:val="auto"/>
              </w:rPr>
            </w:pP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FVPL</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6"/>
                <w:szCs w:val="16"/>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6"/>
                <w:szCs w:val="16"/>
                <w:color w:val="auto"/>
              </w:rPr>
            </w:pPr>
          </w:p>
        </w:tc>
        <w:tc>
          <w:tcPr>
            <w:tcW w:w="10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6"/>
                <w:szCs w:val="16"/>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228,895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228,895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542,298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542,298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1,722</w:t>
            </w:r>
          </w:p>
        </w:tc>
        <w:tc>
          <w:tcPr>
            <w:tcW w:w="1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775,130</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776,852</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657</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29"/>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24"/>
                <w:szCs w:val="24"/>
                <w:color w:val="auto"/>
              </w:rPr>
            </w:pP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FVPL</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24"/>
                <w:szCs w:val="24"/>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4"/>
                <w:szCs w:val="2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24"/>
                <w:szCs w:val="24"/>
                <w:color w:val="auto"/>
              </w:rPr>
            </w:pPr>
          </w:p>
        </w:tc>
        <w:tc>
          <w:tcPr>
            <w:tcW w:w="10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24"/>
                <w:szCs w:val="24"/>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Assets at Fair Value through Profit or Loss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190,966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190,966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336,197</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336,197</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528,502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529,506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20" w:type="dxa"/>
            <w:vAlign w:val="bottom"/>
          </w:tcPr>
          <w:p>
            <w:pPr>
              <w:spacing w:after="0"/>
              <w:rPr>
                <w:sz w:val="24"/>
                <w:szCs w:val="24"/>
                <w:color w:val="auto"/>
              </w:rPr>
            </w:pP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FVPL</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24"/>
                <w:szCs w:val="24"/>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4"/>
                <w:szCs w:val="2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24"/>
                <w:szCs w:val="24"/>
                <w:color w:val="auto"/>
              </w:rPr>
            </w:pPr>
          </w:p>
        </w:tc>
        <w:tc>
          <w:tcPr>
            <w:tcW w:w="10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24"/>
                <w:szCs w:val="24"/>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cost</w:t>
            </w: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(423,606)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(438,388)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(438,834)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(446)</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-2571115</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-2553970</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-2571115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-2553970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-2571115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-2553970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-2571115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-2553970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-2571115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-2553970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-1542415</wp:posOffset>
            </wp:positionV>
            <wp:extent cx="77470" cy="162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-1542415</wp:posOffset>
            </wp:positionV>
            <wp:extent cx="6858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-1542415</wp:posOffset>
            </wp:positionV>
            <wp:extent cx="6858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-1542415</wp:posOffset>
            </wp:positionV>
            <wp:extent cx="68580" cy="162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-1542415</wp:posOffset>
            </wp:positionV>
            <wp:extent cx="68580" cy="162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-367665</wp:posOffset>
            </wp:positionV>
            <wp:extent cx="77470" cy="1631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-367665</wp:posOffset>
            </wp:positionV>
            <wp:extent cx="68580" cy="1631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-367665</wp:posOffset>
            </wp:positionV>
            <wp:extent cx="68580" cy="1631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-367665</wp:posOffset>
            </wp:positionV>
            <wp:extent cx="68580" cy="163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-367665</wp:posOffset>
            </wp:positionV>
            <wp:extent cx="68580" cy="163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Pr>
          <w:p>
            <w:pPr>
              <w:spacing w:after="0"/>
              <w:rPr>
                <w:sz w:val="16"/>
                <w:szCs w:val="16"/>
                <w:color w:val="auto"/>
              </w:rPr>
            </w:pPr>
          </w:p>
        </w:tc>
        <w:tc>
          <w:tcPr>
            <w:tcW w:w="10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FVPL</w:t>
            </w:r>
          </w:p>
        </w:tc>
        <w:tc>
          <w:tcPr>
            <w:tcW w:w="1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6"/>
                <w:szCs w:val="16"/>
                <w:color w:val="auto"/>
              </w:rPr>
            </w:pPr>
          </w:p>
        </w:tc>
        <w:tc>
          <w:tcPr>
            <w:tcW w:w="10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6"/>
                <w:szCs w:val="16"/>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6"/>
                <w:szCs w:val="16"/>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and Other Payables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(277,160)</w:t>
            </w:r>
          </w:p>
        </w:tc>
        <w:tc>
          <w:tcPr>
            <w:tcW w:w="10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7"/>
                <w:szCs w:val="17"/>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(282,174)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(283,060)</w:t>
            </w:r>
          </w:p>
        </w:tc>
        <w:tc>
          <w:tcPr>
            <w:tcW w:w="100" w:type="dxa"/>
            <w:vAlign w:val="bottom"/>
          </w:tcPr>
          <w:p>
            <w:pPr>
              <w:spacing w:after="0"/>
              <w:rPr>
                <w:sz w:val="17"/>
                <w:szCs w:val="17"/>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-162560</wp:posOffset>
            </wp:positionV>
            <wp:extent cx="77470" cy="1631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-162560</wp:posOffset>
            </wp:positionV>
            <wp:extent cx="68580" cy="163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-162560</wp:posOffset>
            </wp:positionV>
            <wp:extent cx="68580" cy="1631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-162560</wp:posOffset>
            </wp:positionV>
            <wp:extent cx="68580" cy="1631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-162560</wp:posOffset>
            </wp:positionV>
            <wp:extent cx="68580" cy="1631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Financial Instruments</w:t>
      </w:r>
    </w:p>
    <w:p>
      <w:pPr>
        <w:spacing w:after="0" w:line="18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As of September 30, 2022 and December 31, 2021., the Group has recognized a contingent consideration liability amounting to USD 665, classified in Level 3. The amount of the Level 3 contingent consideration was calculated by the finance team of the Group, using a discounted cash flow analysis, considering the expected cash flows based on terms of the contract, the entity’s knowledge of the business and how the current conditions are likely to impact it. As described in note 1.3.e to the Annual Consolidated Financial Statements, such contingent liability is capped in USD 665 thousands, and was paid on July 29, 2022.</w:t>
      </w:r>
    </w:p>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were no changes in level 3 items for the periods ended September 30, 2022 and December 31, 2021. Also, there were no transfer of items between level 2 and level 3, acquisitions, disposals nor gains or losses recognized in profit for the period related to level 3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231F20"/>
        </w:rPr>
        <w:t>25. Subsequent events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October 26, 2022, the shareholders of the Company held the Annual General Meeting and approved the following resolutions: (1) to resolve, as an ordinary resolution, that Ms. Mariam Toulan shall be elected as director of the Company, following her appointment as interim director by the board of directors of the Company on June 2, 2022; and (2) to resolve, as an ordinary resolution, that the Company’s financial statements and the auditor’s report for the fiscal year ended December 31, 2021 be approved and ratified.</w:t>
      </w:r>
    </w:p>
    <w:p>
      <w:pPr>
        <w:spacing w:after="0" w:line="16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October 27, 2022, Sumita Pandit step down as dLocal's Chief Operating Officer to pursue other opportunities. Ms. Pandit will serve as a consultant for dLocal on an interim basis, ensuring a smooth transition and supporting the company as her responsibilities are effectively transitioned to other team members. Jacobo Singer has been appointed as the new President and Chief Operating Officer of the Company, effective immediately, following the decision of Sumita to step down from that position.</w:t>
      </w:r>
    </w:p>
    <w:p>
      <w:pPr>
        <w:spacing w:after="0" w:line="17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early November 2022, the Company utilized FTX Trading Ltd. (“FTX”) banking services and had deposits of USD 5.6 million whose withdrawals were not processed by FTX yet. On November 11, 2022, FTX filed for Chapter 11 bankruptcy in the United States. dLocal´s management is closely monitoring this situation and assessing the recoverability of this cash position. As of the date of the issuance of these financial statements, we are not working with any other crypto exchange as banking service, and our exposure to the crypto ecosystem is minimal as processing FIA payments for crypto exchanges represented less than 0.3% of our TPV in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4" w:name="page55"/>
    <w:bookmarkEnd w:id="54"/>
    <w:p>
      <w:pPr>
        <w:ind w:left="9100"/>
        <w:spacing w:after="0"/>
        <w:rPr>
          <w:sz w:val="20"/>
          <w:szCs w:val="20"/>
          <w:color w:val="auto"/>
        </w:rPr>
      </w:pPr>
      <w:r>
        <w:rPr>
          <w:rFonts w:ascii="Times New Roman" w:cs="Times New Roman" w:eastAsia="Times New Roman" w:hAnsi="Times New Roman"/>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208280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217805</wp:posOffset>
            </wp:positionV>
            <wp:extent cx="7157720" cy="89027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217805</wp:posOffset>
            </wp:positionV>
            <wp:extent cx="7157720" cy="89027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217805</wp:posOffset>
            </wp:positionV>
            <wp:extent cx="7157720" cy="89027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217805</wp:posOffset>
            </wp:positionV>
            <wp:extent cx="7157720" cy="89027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90055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9027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890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87655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8765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ind w:left="9100"/>
        <w:spacing w:after="0"/>
        <w:rPr>
          <w:sz w:val="20"/>
          <w:szCs w:val="20"/>
          <w:color w:val="auto"/>
        </w:rPr>
      </w:pPr>
      <w:r>
        <w:rPr>
          <w:rFonts w:ascii="Times New Roman" w:cs="Times New Roman" w:eastAsia="Times New Roman" w:hAnsi="Times New Roman"/>
          <w:sz w:val="19"/>
          <w:szCs w:val="19"/>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wp:posOffset>
            </wp:positionV>
            <wp:extent cx="7157720" cy="38963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389636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40074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007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9046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390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37674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3767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emdash "/>
      <w:numFmt w:val="bullet"/>
      <w:start w:val="1"/>
    </w:lvl>
  </w:abstractNum>
  <w:abstractNum w:abstractNumId="4">
    <w:nsid w:val="79838CB2"/>
    <w:multiLevelType w:val="hybridMultilevel"/>
    <w:lvl w:ilvl="0">
      <w:lvlJc w:val="left"/>
      <w:lvlText w:val="%1"/>
      <w:numFmt w:val="decimal"/>
      <w:start w:val="799"/>
    </w:lvl>
  </w:abstractNum>
  <w:abstractNum w:abstractNumId="5">
    <w:nsid w:val="4353D0CD"/>
    <w:multiLevelType w:val="hybridMultilevel"/>
    <w:lvl w:ilvl="0">
      <w:lvlJc w:val="left"/>
      <w:lvlText w:val="1"/>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2"/>
    </w:lvl>
  </w:abstractNum>
  <w:abstractNum w:abstractNumId="9">
    <w:nsid w:val="71F32454"/>
    <w:multiLevelType w:val="hybridMultilevel"/>
    <w:lvl w:ilvl="0">
      <w:lvlJc w:val="left"/>
      <w:lvlText w:val="%1)"/>
      <w:numFmt w:val="lowerLetter"/>
      <w:start w:val="3"/>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2.%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3"/>
    </w:lvl>
  </w:abstractNum>
  <w:abstractNum w:abstractNumId="17">
    <w:nsid w:val="737B8DDC"/>
    <w:multiLevelType w:val="hybridMultilevel"/>
    <w:lvl w:ilvl="0">
      <w:lvlJc w:val="left"/>
      <w:lvlText w:val="%1."/>
      <w:numFmt w:val="decimal"/>
      <w:start w:val="4"/>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1"/>
      <w:numFmt w:val="decimal"/>
      <w:start w:val="1"/>
    </w:lvl>
    <w:lvl w:ilvl="1">
      <w:lvlJc w:val="left"/>
      <w:lvlText w:val="(%2)"/>
      <w:numFmt w:val="decimal"/>
      <w:start w:val="3"/>
    </w:lvl>
  </w:abstractNum>
  <w:abstractNum w:abstractNumId="20">
    <w:nsid w:val="4516DDE9"/>
    <w:multiLevelType w:val="hybridMultilevel"/>
    <w:lvl w:ilvl="0">
      <w:lvlJc w:val="left"/>
      <w:lvlText w:val="(%1)"/>
      <w:numFmt w:val="decimal"/>
      <w:start w:val="3"/>
    </w:lvl>
    <w:lvl w:ilvl="1">
      <w:lvlJc w:val="left"/>
      <w:lvlText w:val="%2"/>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1)"/>
      <w:numFmt w:val="lowerRoman"/>
      <w:start w:val="1"/>
    </w:lvl>
  </w:abstractNum>
  <w:abstractNum w:abstractNumId="24">
    <w:nsid w:val="5577F8E1"/>
    <w:multiLevelType w:val="hybridMultilevel"/>
    <w:lvl w:ilvl="0">
      <w:lvlJc w:val="left"/>
      <w:lvlText w:val="%1."/>
      <w:numFmt w:val="decimal"/>
      <w:start w:val="6"/>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1"/>
      <w:numFmt w:val="decimal"/>
      <w:start w:val="1"/>
    </w:lvl>
    <w:lvl w:ilvl="1">
      <w:lvlJc w:val="left"/>
      <w:lvlText w:val="(%2)"/>
      <w:numFmt w:val="lowerRoman"/>
      <w:start w:val="1"/>
    </w:lvl>
  </w:abstractNum>
  <w:abstractNum w:abstractNumId="27">
    <w:nsid w:val="3804823E"/>
    <w:multiLevelType w:val="hybridMultilevel"/>
    <w:lvl w:ilvl="0">
      <w:lvlJc w:val="left"/>
      <w:lvlText w:val="(%1)"/>
      <w:numFmt w:val="decimal"/>
      <w:start w:val="1"/>
    </w:lvl>
    <w:lvl w:ilvl="1">
      <w:lvlJc w:val="left"/>
      <w:lvlText w:val="%2"/>
      <w:numFmt w:val="lowerRoman"/>
      <w:start w:val="1"/>
    </w:lvl>
  </w:abstractNum>
  <w:abstractNum w:abstractNumId="28">
    <w:nsid w:val="77465F01"/>
    <w:multiLevelType w:val="hybridMultilevel"/>
    <w:lvl w:ilvl="0">
      <w:lvlJc w:val="left"/>
      <w:lvlText w:val="%1."/>
      <w:numFmt w:val="decimal"/>
      <w:start w:val="7"/>
    </w:lvl>
  </w:abstractNum>
  <w:abstractNum w:abstractNumId="29">
    <w:nsid w:val="7724C67E"/>
    <w:multiLevelType w:val="hybridMultilevel"/>
    <w:lvl w:ilvl="0">
      <w:lvlJc w:val="left"/>
      <w:lvlText w:val="(%1)"/>
      <w:numFmt w:val="lowerRoman"/>
      <w:start w:val="1"/>
    </w:lvl>
  </w:abstractNum>
  <w:abstractNum w:abstractNumId="30">
    <w:nsid w:val="5C482A97"/>
    <w:multiLevelType w:val="hybridMultilevel"/>
    <w:lvl w:ilvl="0">
      <w:lvlJc w:val="left"/>
      <w:lvlText w:val="%1."/>
      <w:numFmt w:val="decimal"/>
      <w:start w:val="8"/>
    </w:lvl>
  </w:abstractNum>
  <w:abstractNum w:abstractNumId="31">
    <w:nsid w:val="2463B9EA"/>
    <w:multiLevelType w:val="hybridMultilevel"/>
    <w:lvl w:ilvl="0">
      <w:lvlJc w:val="left"/>
      <w:lvlText w:val="(%1)"/>
      <w:numFmt w:val="lowerRoman"/>
      <w:start w:val="1"/>
    </w:lvl>
  </w:abstractNum>
  <w:abstractNum w:abstractNumId="32">
    <w:nsid w:val="5E884ADC"/>
    <w:multiLevelType w:val="hybridMultilevel"/>
    <w:lvl w:ilvl="0">
      <w:lvlJc w:val="left"/>
      <w:lvlText w:val="%1."/>
      <w:numFmt w:val="decimal"/>
      <w:start w:val="9"/>
    </w:lvl>
  </w:abstractNum>
  <w:abstractNum w:abstractNumId="33">
    <w:nsid w:val="51EAD36B"/>
    <w:multiLevelType w:val="hybridMultilevel"/>
    <w:lvl w:ilvl="0">
      <w:lvlJc w:val="left"/>
      <w:lvlText w:val="(%1)"/>
      <w:numFmt w:val="lowerRoman"/>
      <w:start w:val="1"/>
    </w:lvl>
  </w:abstractNum>
  <w:abstractNum w:abstractNumId="34">
    <w:nsid w:val="2D517796"/>
    <w:multiLevelType w:val="hybridMultilevel"/>
    <w:lvl w:ilvl="0">
      <w:lvlJc w:val="left"/>
      <w:lvlText w:val="%1."/>
      <w:numFmt w:val="decimal"/>
      <w:start w:val="12"/>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1)"/>
      <w:numFmt w:val="lowerRoman"/>
      <w:start w:val="4"/>
    </w:lvl>
  </w:abstractNum>
  <w:abstractNum w:abstractNumId="37">
    <w:nsid w:val="3855585C"/>
    <w:multiLevelType w:val="hybridMultilevel"/>
    <w:lvl w:ilvl="0">
      <w:lvlJc w:val="left"/>
      <w:lvlText w:val="%1"/>
      <w:numFmt w:val="lowerLetter"/>
      <w:start w:val="1"/>
    </w:lvl>
    <w:lvl w:ilvl="1">
      <w:lvlJc w:val="left"/>
      <w:lvlText w:val="(%2)"/>
      <w:numFmt w:val="lowerLetter"/>
      <w:start w:val="9"/>
    </w:lvl>
  </w:abstractNum>
  <w:abstractNum w:abstractNumId="38">
    <w:nsid w:val="70A64E2A"/>
    <w:multiLevelType w:val="hybridMultilevel"/>
    <w:lvl w:ilvl="0">
      <w:lvlJc w:val="left"/>
      <w:lvlText w:val="(%1)"/>
      <w:numFmt w:val="lowerLetter"/>
      <w:start w:val="3"/>
    </w:lvl>
    <w:lvl w:ilvl="1">
      <w:lvlJc w:val="left"/>
      <w:lvlText w:val="%2"/>
      <w:numFmt w:val="lowerLetter"/>
      <w:start w:val="1"/>
    </w:lvl>
  </w:abstractNum>
  <w:abstractNum w:abstractNumId="39">
    <w:nsid w:val="6A2342EC"/>
    <w:multiLevelType w:val="hybridMultilevel"/>
    <w:lvl w:ilvl="0">
      <w:lvlJc w:val="left"/>
      <w:lvlText w:val="1"/>
      <w:numFmt w:val="bullet"/>
      <w:start w:val="1"/>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1)"/>
      <w:numFmt w:val="lowerRoman"/>
      <w:start w:val="1"/>
    </w:lvl>
  </w:abstractNum>
  <w:abstractNum w:abstractNumId="42">
    <w:nsid w:val="725A06FB"/>
    <w:multiLevelType w:val="hybridMultilevel"/>
    <w:lvl w:ilvl="0">
      <w:lvlJc w:val="left"/>
      <w:lvlText w:val="%1."/>
      <w:numFmt w:val="decimal"/>
      <w:start w:val="20"/>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2022-11-15T15:33:25Z</dcterms:created>
  <dcterms:modified xsi:type="dcterms:W3CDTF">2022-11-15T15:33:25Z</dcterms:modified>
</cp:coreProperties>
</file>