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31.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13" w:after="283"/>
              <w:jc w:val="left"/>
              <w:rPr>
                <w:color w:val="000000"/>
              </w:rPr>
            </w:pPr>
            <w:r>
              <w:rPr>
                <w:color w:val="000000"/>
              </w:rPr>
              <w:t> </w:t>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2"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16" w:after="283"/>
        <w:jc w:val="center"/>
        <w:rPr>
          <w:rFonts w:ascii="Arial;sans-serif" w:hAnsi="Arial;sans-serif"/>
          <w:b/>
          <w:color w:val="000000"/>
          <w:sz w:val="32"/>
        </w:rPr>
      </w:pPr>
      <w:r>
        <w:rPr>
          <w:rFonts w:ascii="Arial;sans-serif" w:hAnsi="Arial;sans-serif"/>
          <w:b/>
          <w:color w:val="000000"/>
          <w:sz w:val="32"/>
        </w:rP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16" w:after="283"/>
        <w:jc w:val="center"/>
        <w:rPr>
          <w:rFonts w:ascii="Arial;sans-serif" w:hAnsi="Arial;sans-serif"/>
          <w:b/>
          <w:color w:val="000000"/>
          <w:sz w:val="22"/>
        </w:rPr>
      </w:pPr>
      <w:r>
        <w:rPr>
          <w:rFonts w:ascii="Arial;sans-serif" w:hAnsi="Arial;sans-serif"/>
          <w:b/>
          <w:color w:val="000000"/>
          <w:sz w:val="22"/>
        </w:rPr>
        <w:t>REPORT OF FOREIGN PRIVATE ISSUER</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RULE 13a-16 OR 15d-16</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UNDER THE SECURITIES EXCHANGE ACT OF 1934</w:t>
      </w:r>
    </w:p>
    <w:p>
      <w:pPr>
        <w:pStyle w:val="TextBody"/>
        <w:bidi w:val="0"/>
        <w:spacing w:lineRule="auto" w:line="288" w:before="216" w:after="283"/>
        <w:jc w:val="center"/>
        <w:rPr>
          <w:rFonts w:ascii="Arial;sans-serif" w:hAnsi="Arial;sans-serif"/>
          <w:b/>
          <w:color w:val="000000"/>
          <w:sz w:val="18"/>
        </w:rPr>
      </w:pPr>
      <w:r>
        <w:rPr>
          <w:rFonts w:ascii="Arial;sans-serif" w:hAnsi="Arial;sans-serif"/>
          <w:b/>
          <w:color w:val="000000"/>
          <w:sz w:val="18"/>
        </w:rPr>
        <w:t>For the month of August 2026</w:t>
      </w:r>
    </w:p>
    <w:p>
      <w:pPr>
        <w:pStyle w:val="TextBody"/>
        <w:bidi w:val="0"/>
        <w:spacing w:lineRule="auto" w:line="288" w:before="216" w:after="283"/>
        <w:jc w:val="center"/>
        <w:rPr>
          <w:rFonts w:ascii="Arial;sans-serif" w:hAnsi="Arial;sans-serif"/>
          <w:b/>
          <w:color w:val="000000"/>
          <w:sz w:val="18"/>
        </w:rPr>
      </w:pPr>
      <w:r>
        <w:rPr>
          <w:rFonts w:ascii="Arial;sans-serif" w:hAnsi="Arial;sans-serif"/>
          <w:b/>
          <w:color w:val="000000"/>
          <w:sz w:val="18"/>
        </w:rPr>
        <w:t>Commission File Number: 001-40451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16" w:after="283"/>
        <w:jc w:val="center"/>
        <w:rPr>
          <w:rFonts w:ascii="Arial;sans-serif" w:hAnsi="Arial;sans-serif"/>
          <w:b/>
          <w:color w:val="000000"/>
          <w:sz w:val="43"/>
        </w:rPr>
      </w:pPr>
      <w:r>
        <w:rPr>
          <w:rFonts w:ascii="Arial;sans-serif" w:hAnsi="Arial;sans-serif"/>
          <w:b/>
          <w:color w:val="000000"/>
          <w:sz w:val="43"/>
        </w:rPr>
        <w:t>DLocal Limited</w:t>
      </w:r>
    </w:p>
    <w:p>
      <w:pPr>
        <w:pStyle w:val="TextBody"/>
        <w:bidi w:val="0"/>
        <w:spacing w:lineRule="auto" w:line="288" w:before="0" w:after="0"/>
        <w:jc w:val="center"/>
        <w:rPr/>
      </w:pPr>
      <w:r>
        <w:rPr>
          <w:rFonts w:ascii="Times New Roman;serif" w:hAnsi="Times New Roman;serif"/>
          <w:b/>
          <w:color w:val="000000"/>
          <w:sz w:val="18"/>
        </w:rPr>
        <w:t>(</w:t>
      </w: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16" w:after="283"/>
        <w:jc w:val="center"/>
        <w:rPr>
          <w:rFonts w:ascii="Arial;sans-serif" w:hAnsi="Arial;sans-serif"/>
          <w:b/>
          <w:color w:val="000000"/>
          <w:sz w:val="22"/>
        </w:rPr>
      </w:pPr>
      <w:r>
        <w:rPr>
          <w:rFonts w:ascii="Arial;sans-serif" w:hAnsi="Arial;sans-serif"/>
          <w:b/>
          <w:color w:val="000000"/>
          <w:sz w:val="22"/>
        </w:rPr>
        <w:t>PO Box 1093, Boundary Hall,</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Cricket Square, Grand Cayman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KY1-1102</w:t>
        <w:br/>
        <w:t>Cayman Islands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16" w:after="283"/>
        <w:ind w:left="0" w:right="0" w:firstLine="440"/>
        <w:jc w:val="center"/>
        <w:rPr>
          <w:rFonts w:ascii="Arial;sans-serif" w:hAnsi="Arial;sans-serif"/>
          <w:b w:val="false"/>
          <w:color w:val="000000"/>
          <w:sz w:val="18"/>
        </w:rPr>
      </w:pPr>
      <w:r>
        <w:rPr>
          <w:rFonts w:ascii="Arial;sans-serif" w:hAnsi="Arial;sans-serif"/>
          <w:b w:val="false"/>
          <w:color w:val="000000"/>
          <w:sz w:val="18"/>
        </w:rPr>
        <w:t>Indicate by check mark whether the registrant files or will file annual reports under cover of Form 20-F or Form 40-F:</w:t>
      </w:r>
    </w:p>
    <w:p>
      <w:pPr>
        <w:pStyle w:val="TextBody"/>
        <w:bidi w:val="0"/>
        <w:spacing w:lineRule="auto" w:line="288" w:before="216" w:after="283"/>
        <w:jc w:val="center"/>
        <w:rPr>
          <w:rFonts w:ascii="Arial;sans-serif" w:hAnsi="Arial;sans-serif"/>
          <w:b w:val="false"/>
          <w:color w:val="000000"/>
          <w:sz w:val="18"/>
        </w:rPr>
      </w:pPr>
      <w:r>
        <w:rPr>
          <w:rFonts w:ascii="Arial;sans-serif" w:hAnsi="Arial;sans-serif"/>
          <w:b w:val="false"/>
          <w:color w:val="000000"/>
          <w:sz w:val="18"/>
        </w:rPr>
        <w:t>Form 20-F ☒ Form 40-F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13"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TABLE OF CONTENTS</w:t>
      </w:r>
    </w:p>
    <w:p>
      <w:pPr>
        <w:pStyle w:val="TextBody"/>
        <w:bidi w:val="0"/>
        <w:spacing w:lineRule="auto" w:line="288" w:before="216" w:after="283"/>
        <w:jc w:val="left"/>
        <w:rPr>
          <w:rFonts w:ascii="Arial;sans-serif" w:hAnsi="Arial;sans-serif"/>
          <w:b/>
          <w:color w:val="000000"/>
          <w:sz w:val="18"/>
        </w:rPr>
      </w:pPr>
      <w:r>
        <w:rPr>
          <w:rFonts w:ascii="Arial;sans-serif" w:hAnsi="Arial;sans-serif"/>
          <w:b/>
          <w:color w:val="000000"/>
          <w:sz w:val="18"/>
        </w:rPr>
        <w:t>EXHIBIT</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852"/>
        <w:gridCol w:w="2701"/>
        <w:gridCol w:w="384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1-dlocalxearningsxres.htm">
              <w:r>
                <w:rPr>
                  <w:rStyle w:val="InternetLink"/>
                  <w:rFonts w:ascii="Arial;sans-serif" w:hAnsi="Arial;sans-serif"/>
                  <w:b w:val="false"/>
                  <w:strike w:val="false"/>
                  <w:dstrike w:val="false"/>
                  <w:color w:val="000080"/>
                  <w:sz w:val="20"/>
                  <w:u w:val="single"/>
                  <w:effect w:val="none"/>
                </w:rPr>
                <w:t xml:space="preserve">Press release dated </w:t>
              </w:r>
            </w:hyperlink>
            <w:hyperlink w:anchor="ex_991-dlocalxearningsxres.htm">
              <w:r>
                <w:rPr>
                  <w:rStyle w:val="InternetLink"/>
                  <w:rFonts w:ascii="Arial;sans-serif" w:hAnsi="Arial;sans-serif"/>
                  <w:b w:val="false"/>
                  <w:strike w:val="false"/>
                  <w:dstrike w:val="false"/>
                  <w:color w:val="000080"/>
                  <w:sz w:val="20"/>
                  <w:u w:val="single"/>
                  <w:effect w:val="none"/>
                </w:rPr>
                <w:t>August</w:t>
              </w:r>
            </w:hyperlink>
            <w:hyperlink w:anchor="ex_991-dlocalxearningsxres.htm">
              <w:r>
                <w:rPr>
                  <w:rStyle w:val="InternetLink"/>
                  <w:rFonts w:ascii="Arial;sans-serif" w:hAnsi="Arial;sans-serif"/>
                  <w:b w:val="false"/>
                  <w:strike w:val="false"/>
                  <w:dstrike w:val="false"/>
                  <w:color w:val="000080"/>
                  <w:sz w:val="20"/>
                  <w:u w:val="single"/>
                  <w:effect w:val="none"/>
                </w:rPr>
                <w:t xml:space="preserve"> 1</w:t>
              </w:r>
            </w:hyperlink>
            <w:hyperlink w:anchor="ex_991-dlocalxearningsxres.htm">
              <w:r>
                <w:rPr>
                  <w:rStyle w:val="InternetLink"/>
                  <w:rFonts w:ascii="Arial;sans-serif" w:hAnsi="Arial;sans-serif"/>
                  <w:b w:val="false"/>
                  <w:strike w:val="false"/>
                  <w:dstrike w:val="false"/>
                  <w:color w:val="000080"/>
                  <w:sz w:val="20"/>
                  <w:u w:val="single"/>
                  <w:effect w:val="none"/>
                </w:rPr>
                <w:t>3</w:t>
              </w:r>
            </w:hyperlink>
            <w:hyperlink w:anchor="ex_991-dlocalxearningsxres.htm">
              <w:r>
                <w:rPr>
                  <w:rStyle w:val="InternetLink"/>
                  <w:rFonts w:ascii="Arial;sans-serif" w:hAnsi="Arial;sans-serif"/>
                  <w:b w:val="false"/>
                  <w:strike w:val="false"/>
                  <w:dstrike w:val="false"/>
                  <w:color w:val="000080"/>
                  <w:sz w:val="20"/>
                  <w:u w:val="single"/>
                  <w:effect w:val="none"/>
                </w:rPr>
                <w:t xml:space="preserve">, 2026 - dLocal Reports 2026 </w:t>
              </w:r>
            </w:hyperlink>
            <w:hyperlink w:anchor="ex_991-dlocalxearningsxres.htm">
              <w:r>
                <w:rPr>
                  <w:rStyle w:val="InternetLink"/>
                  <w:rFonts w:ascii="Arial;sans-serif" w:hAnsi="Arial;sans-serif"/>
                  <w:b w:val="false"/>
                  <w:strike w:val="false"/>
                  <w:dstrike w:val="false"/>
                  <w:color w:val="000080"/>
                  <w:sz w:val="20"/>
                  <w:u w:val="single"/>
                  <w:effect w:val="none"/>
                </w:rPr>
                <w:t>Second</w:t>
              </w:r>
            </w:hyperlink>
            <w:hyperlink w:anchor="ex_991-dlocalxearningsxres.htm">
              <w:r>
                <w:rPr>
                  <w:rStyle w:val="InternetLink"/>
                  <w:rFonts w:ascii="Arial;sans-serif" w:hAnsi="Arial;sans-serif"/>
                  <w:b w:val="false"/>
                  <w:strike w:val="false"/>
                  <w:dstrike w:val="false"/>
                  <w:color w:val="000080"/>
                  <w:sz w:val="20"/>
                  <w:u w:val="single"/>
                  <w:effect w:val="none"/>
                </w:rPr>
                <w:t xml:space="preserve"> Quarter Financial Results</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dlo-20260630.htm">
              <w:r>
                <w:rPr>
                  <w:rStyle w:val="InternetLink"/>
                  <w:rFonts w:ascii="Arial;sans-serif" w:hAnsi="Arial;sans-serif"/>
                  <w:b w:val="false"/>
                  <w:strike w:val="false"/>
                  <w:dstrike w:val="false"/>
                  <w:color w:val="000080"/>
                  <w:sz w:val="20"/>
                  <w:u w:val="single"/>
                  <w:effect w:val="none"/>
                </w:rPr>
                <w:t xml:space="preserve">DLocal Limited Unaudited Consolidated Condensed Interim Financial Statements as of </w:t>
              </w:r>
            </w:hyperlink>
            <w:hyperlink w:anchor="dlo-20260630.htm">
              <w:r>
                <w:rPr>
                  <w:rStyle w:val="InternetLink"/>
                  <w:rFonts w:ascii="Arial;sans-serif" w:hAnsi="Arial;sans-serif"/>
                  <w:b w:val="false"/>
                  <w:strike w:val="false"/>
                  <w:dstrike w:val="false"/>
                  <w:color w:val="000080"/>
                  <w:sz w:val="20"/>
                  <w:u w:val="single"/>
                  <w:effect w:val="none"/>
                </w:rPr>
                <w:t>June</w:t>
              </w:r>
            </w:hyperlink>
            <w:hyperlink w:anchor="dlo-20260630.htm">
              <w:r>
                <w:rPr>
                  <w:rStyle w:val="InternetLink"/>
                  <w:rFonts w:ascii="Arial;sans-serif" w:hAnsi="Arial;sans-serif"/>
                  <w:b w:val="false"/>
                  <w:strike w:val="false"/>
                  <w:dstrike w:val="false"/>
                  <w:color w:val="000080"/>
                  <w:sz w:val="20"/>
                  <w:u w:val="single"/>
                  <w:effect w:val="none"/>
                </w:rPr>
                <w:t xml:space="preserve"> 3</w:t>
              </w:r>
            </w:hyperlink>
            <w:hyperlink w:anchor="dlo-20260630.htm">
              <w:r>
                <w:rPr>
                  <w:rStyle w:val="InternetLink"/>
                  <w:rFonts w:ascii="Arial;sans-serif" w:hAnsi="Arial;sans-serif"/>
                  <w:b w:val="false"/>
                  <w:strike w:val="false"/>
                  <w:dstrike w:val="false"/>
                  <w:color w:val="000080"/>
                  <w:sz w:val="20"/>
                  <w:u w:val="single"/>
                  <w:effect w:val="none"/>
                </w:rPr>
                <w:t>0</w:t>
              </w:r>
            </w:hyperlink>
            <w:hyperlink w:anchor="dlo-20260630.htm">
              <w:r>
                <w:rPr>
                  <w:rStyle w:val="InternetLink"/>
                  <w:rFonts w:ascii="Arial;sans-serif" w:hAnsi="Arial;sans-serif"/>
                  <w:b w:val="false"/>
                  <w:strike w:val="false"/>
                  <w:dstrike w:val="false"/>
                  <w:color w:val="000080"/>
                  <w:sz w:val="20"/>
                  <w:u w:val="single"/>
                  <w:effect w:val="none"/>
                </w:rPr>
                <w:t>, 2026</w:t>
              </w:r>
            </w:hyperlink>
            <w:hyperlink w:anchor="dlo-20260630.htm">
              <w:r>
                <w:rPr>
                  <w:rStyle w:val="InternetLink"/>
                  <w:rFonts w:ascii="Arial;sans-serif" w:hAnsi="Arial;sans-serif"/>
                  <w:b w:val="false"/>
                  <w:strike w:val="false"/>
                  <w:dstrike w:val="false"/>
                  <w:color w:val="000080"/>
                  <w:sz w:val="20"/>
                  <w:u w:val="single"/>
                  <w:effect w:val="none"/>
                </w:rPr>
                <w:t xml:space="preserve"> and for the </w:t>
              </w:r>
            </w:hyperlink>
            <w:hyperlink w:anchor="dlo-20260630.htm">
              <w:r>
                <w:rPr>
                  <w:rStyle w:val="InternetLink"/>
                  <w:rFonts w:ascii="Arial;sans-serif" w:hAnsi="Arial;sans-serif"/>
                  <w:b w:val="false"/>
                  <w:strike w:val="false"/>
                  <w:dstrike w:val="false"/>
                  <w:color w:val="000080"/>
                  <w:sz w:val="20"/>
                  <w:u w:val="single"/>
                  <w:effect w:val="none"/>
                </w:rPr>
                <w:t>six-month</w:t>
              </w:r>
            </w:hyperlink>
            <w:hyperlink w:anchor="dlo-20260630.htm">
              <w:r>
                <w:rPr>
                  <w:rStyle w:val="InternetLink"/>
                  <w:rFonts w:ascii="Arial;sans-serif" w:hAnsi="Arial;sans-serif"/>
                  <w:b w:val="false"/>
                  <w:strike w:val="false"/>
                  <w:dstrike w:val="false"/>
                  <w:color w:val="000080"/>
                  <w:sz w:val="20"/>
                  <w:u w:val="single"/>
                  <w:effect w:val="none"/>
                </w:rPr>
                <w:t xml:space="preserve"> </w:t>
              </w:r>
            </w:hyperlink>
            <w:hyperlink w:anchor="dlo-20260630.htm">
              <w:r>
                <w:rPr>
                  <w:rStyle w:val="InternetLink"/>
                  <w:rFonts w:ascii="Arial;sans-serif" w:hAnsi="Arial;sans-serif"/>
                  <w:b w:val="false"/>
                  <w:strike w:val="false"/>
                  <w:dstrike w:val="false"/>
                  <w:color w:val="000080"/>
                  <w:sz w:val="20"/>
                  <w:u w:val="single"/>
                  <w:effect w:val="none"/>
                </w:rPr>
                <w:t>and three</w:t>
              </w:r>
            </w:hyperlink>
            <w:hyperlink w:anchor="dlo-20260630.htm">
              <w:r>
                <w:rPr>
                  <w:rStyle w:val="InternetLink"/>
                  <w:rFonts w:ascii="Arial;sans-serif" w:hAnsi="Arial;sans-serif"/>
                  <w:b w:val="false"/>
                  <w:strike w:val="false"/>
                  <w:dstrike w:val="false"/>
                  <w:color w:val="000080"/>
                  <w:sz w:val="20"/>
                  <w:u w:val="single"/>
                  <w:effect w:val="none"/>
                </w:rPr>
                <w:t>-</w:t>
              </w:r>
            </w:hyperlink>
            <w:hyperlink w:anchor="dlo-20260630.htm">
              <w:r>
                <w:rPr>
                  <w:rStyle w:val="InternetLink"/>
                  <w:rFonts w:ascii="Arial;sans-serif" w:hAnsi="Arial;sans-serif"/>
                  <w:b w:val="false"/>
                  <w:strike w:val="false"/>
                  <w:dstrike w:val="false"/>
                  <w:color w:val="000080"/>
                  <w:sz w:val="20"/>
                  <w:u w:val="single"/>
                  <w:effect w:val="none"/>
                </w:rPr>
                <w:t xml:space="preserve">month </w:t>
              </w:r>
            </w:hyperlink>
            <w:hyperlink w:anchor="dlo-20260630.htm">
              <w:r>
                <w:rPr>
                  <w:rStyle w:val="InternetLink"/>
                  <w:rFonts w:ascii="Arial;sans-serif" w:hAnsi="Arial;sans-serif"/>
                  <w:b w:val="false"/>
                  <w:strike w:val="false"/>
                  <w:dstrike w:val="false"/>
                  <w:color w:val="000080"/>
                  <w:sz w:val="20"/>
                  <w:u w:val="single"/>
                  <w:effect w:val="none"/>
                </w:rPr>
                <w:t>period</w:t>
              </w:r>
            </w:hyperlink>
            <w:hyperlink w:anchor="dlo-20260630.htm">
              <w:r>
                <w:rPr>
                  <w:rStyle w:val="InternetLink"/>
                  <w:rFonts w:ascii="Arial;sans-serif" w:hAnsi="Arial;sans-serif"/>
                  <w:b w:val="false"/>
                  <w:strike w:val="false"/>
                  <w:dstrike w:val="false"/>
                  <w:color w:val="000080"/>
                  <w:sz w:val="20"/>
                  <w:u w:val="single"/>
                  <w:effect w:val="none"/>
                </w:rPr>
                <w:t>s</w:t>
              </w:r>
            </w:hyperlink>
            <w:hyperlink w:anchor="dlo-20260630.htm">
              <w:r>
                <w:rPr>
                  <w:rStyle w:val="InternetLink"/>
                  <w:rFonts w:ascii="Arial;sans-serif" w:hAnsi="Arial;sans-serif"/>
                  <w:b w:val="false"/>
                  <w:strike w:val="false"/>
                  <w:dstrike w:val="false"/>
                  <w:color w:val="000080"/>
                  <w:sz w:val="20"/>
                  <w:u w:val="single"/>
                  <w:effect w:val="none"/>
                </w:rPr>
                <w:t xml:space="preserve"> ended </w:t>
              </w:r>
            </w:hyperlink>
            <w:hyperlink w:anchor="dlo-20260630.htm">
              <w:r>
                <w:rPr>
                  <w:rStyle w:val="InternetLink"/>
                  <w:rFonts w:ascii="Arial;sans-serif" w:hAnsi="Arial;sans-serif"/>
                  <w:b w:val="false"/>
                  <w:strike w:val="false"/>
                  <w:dstrike w:val="false"/>
                  <w:color w:val="000080"/>
                  <w:sz w:val="20"/>
                  <w:u w:val="single"/>
                  <w:effect w:val="none"/>
                </w:rPr>
                <w:t>June</w:t>
              </w:r>
            </w:hyperlink>
            <w:hyperlink w:anchor="dlo-20260630.htm">
              <w:r>
                <w:rPr>
                  <w:rStyle w:val="InternetLink"/>
                  <w:rFonts w:ascii="Arial;sans-serif" w:hAnsi="Arial;sans-serif"/>
                  <w:b w:val="false"/>
                  <w:strike w:val="false"/>
                  <w:dstrike w:val="false"/>
                  <w:color w:val="000080"/>
                  <w:sz w:val="20"/>
                  <w:u w:val="single"/>
                  <w:effect w:val="none"/>
                </w:rPr>
                <w:t xml:space="preserve"> 3</w:t>
              </w:r>
            </w:hyperlink>
            <w:hyperlink w:anchor="dlo-20260630.htm">
              <w:r>
                <w:rPr>
                  <w:rStyle w:val="InternetLink"/>
                  <w:rFonts w:ascii="Arial;sans-serif" w:hAnsi="Arial;sans-serif"/>
                  <w:b w:val="false"/>
                  <w:strike w:val="false"/>
                  <w:dstrike w:val="false"/>
                  <w:color w:val="000080"/>
                  <w:sz w:val="20"/>
                  <w:u w:val="single"/>
                  <w:effect w:val="none"/>
                </w:rPr>
                <w:t>0</w:t>
              </w:r>
            </w:hyperlink>
            <w:hyperlink w:anchor="dlo-20260630.htm">
              <w:r>
                <w:rPr>
                  <w:rStyle w:val="InternetLink"/>
                  <w:rFonts w:ascii="Arial;sans-serif" w:hAnsi="Arial;sans-serif"/>
                  <w:b w:val="false"/>
                  <w:strike w:val="false"/>
                  <w:dstrike w:val="false"/>
                  <w:color w:val="000080"/>
                  <w:sz w:val="20"/>
                  <w:u w:val="single"/>
                  <w:effect w:val="none"/>
                </w:rPr>
                <w:t>, 2026 and 2025</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3xdlocalx1qx26xearni.htm">
              <w:r>
                <w:rPr>
                  <w:rStyle w:val="InternetLink"/>
                  <w:rFonts w:ascii="Arial;sans-serif" w:hAnsi="Arial;sans-serif"/>
                  <w:b w:val="false"/>
                  <w:strike w:val="false"/>
                  <w:dstrike w:val="false"/>
                  <w:color w:val="000080"/>
                  <w:sz w:val="20"/>
                  <w:u w:val="single"/>
                  <w:effect w:val="none"/>
                </w:rPr>
                <w:t xml:space="preserve">Quarterly Report 2026 - dLocal Reports 2026 </w:t>
              </w:r>
            </w:hyperlink>
            <w:hyperlink w:anchor="ex_99-3xdlocalx1qx26xearni.htm">
              <w:r>
                <w:rPr>
                  <w:rStyle w:val="InternetLink"/>
                  <w:rFonts w:ascii="Arial;sans-serif" w:hAnsi="Arial;sans-serif"/>
                  <w:b w:val="false"/>
                  <w:strike w:val="false"/>
                  <w:dstrike w:val="false"/>
                  <w:color w:val="000080"/>
                  <w:sz w:val="20"/>
                  <w:u w:val="single"/>
                  <w:effect w:val="none"/>
                </w:rPr>
                <w:t>Second</w:t>
              </w:r>
            </w:hyperlink>
            <w:hyperlink w:anchor="ex_99-3xdlocalx1qx26xearni.htm">
              <w:r>
                <w:rPr>
                  <w:rStyle w:val="InternetLink"/>
                  <w:rFonts w:ascii="Arial;sans-serif" w:hAnsi="Arial;sans-serif"/>
                  <w:b w:val="false"/>
                  <w:strike w:val="false"/>
                  <w:dstrike w:val="false"/>
                  <w:color w:val="000080"/>
                  <w:sz w:val="20"/>
                  <w:u w:val="single"/>
                  <w:effect w:val="none"/>
                </w:rPr>
                <w:t xml:space="preserve"> Quarter Financial Results</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99.4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_99-4xdlocalx1q26xearnin.htm">
              <w:r>
                <w:rPr>
                  <w:rStyle w:val="InternetLink"/>
                  <w:rFonts w:ascii="Arial;sans-serif" w:hAnsi="Arial;sans-serif"/>
                  <w:b w:val="false"/>
                  <w:strike w:val="false"/>
                  <w:dstrike w:val="false"/>
                  <w:color w:val="000080"/>
                  <w:sz w:val="20"/>
                  <w:u w:val="single"/>
                  <w:effect w:val="none"/>
                </w:rPr>
                <w:t>dLocal Q</w:t>
              </w:r>
            </w:hyperlink>
            <w:hyperlink w:anchor="ex_99-4xdlocalx1q26xearnin.htm">
              <w:r>
                <w:rPr>
                  <w:rStyle w:val="InternetLink"/>
                  <w:rFonts w:ascii="Arial;sans-serif" w:hAnsi="Arial;sans-serif"/>
                  <w:b w:val="false"/>
                  <w:strike w:val="false"/>
                  <w:dstrike w:val="false"/>
                  <w:color w:val="000080"/>
                  <w:sz w:val="20"/>
                  <w:u w:val="single"/>
                  <w:effect w:val="none"/>
                </w:rPr>
                <w:t>2</w:t>
              </w:r>
            </w:hyperlink>
            <w:hyperlink w:anchor="ex_99-4xdlocalx1q26xearnin.htm">
              <w:r>
                <w:rPr>
                  <w:rStyle w:val="InternetLink"/>
                  <w:rFonts w:ascii="Arial;sans-serif" w:hAnsi="Arial;sans-serif"/>
                  <w:b w:val="false"/>
                  <w:strike w:val="false"/>
                  <w:dstrike w:val="false"/>
                  <w:color w:val="000080"/>
                  <w:sz w:val="20"/>
                  <w:u w:val="single"/>
                  <w:effect w:val="none"/>
                </w:rPr>
                <w:t xml:space="preserve"> 2026 Earnings Presentation</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SIGNATURE</w:t>
      </w:r>
    </w:p>
    <w:p>
      <w:pPr>
        <w:pStyle w:val="TextBody"/>
        <w:bidi w:val="0"/>
        <w:spacing w:lineRule="auto" w:line="288" w:before="216" w:after="283"/>
        <w:ind w:left="0" w:right="0" w:firstLine="440"/>
        <w:jc w:val="left"/>
        <w:rPr>
          <w:rFonts w:ascii="Arial;sans-serif" w:hAnsi="Arial;sans-serif"/>
          <w:b w:val="false"/>
          <w:color w:val="000000"/>
          <w:sz w:val="18"/>
        </w:rPr>
      </w:pPr>
      <w:r>
        <w:rPr>
          <w:rFonts w:ascii="Arial;sans-serif" w:hAnsi="Arial;sans-serif"/>
          <w:b w:val="false"/>
          <w:color w:val="000000"/>
          <w:sz w:val="18"/>
        </w:rPr>
        <w:t xml:space="preserve">Pursuant to the requirements of the Securities Exchange Act of 1934, the registrant has duly caused this report to be signed on its behalf by the undersigned, thereunto duly authorized. </w:t>
      </w:r>
    </w:p>
    <w:p>
      <w:pPr>
        <w:pStyle w:val="TextBody"/>
        <w:bidi w:val="0"/>
        <w:spacing w:before="216" w:after="283"/>
        <w:jc w:val="left"/>
        <w:rPr/>
      </w:pPr>
      <w:r>
        <w:rPr/>
      </w:r>
    </w:p>
    <w:tbl>
      <w:tblPr>
        <w:tblW w:w="3251"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650"/>
        <w:gridCol w:w="650"/>
        <w:gridCol w:w="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0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DLocal Limited</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By:</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Guillermo López Pérez</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Name:</w:t>
            </w:r>
          </w:p>
        </w:tc>
        <w:tc>
          <w:tcPr>
            <w:tcW w:w="2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Guillermo López Pérez</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0" w:type="dxa"/>
            <w:gridSpan w:val="3"/>
            <w:tcBorders/>
            <w:tcMar>
              <w:top w:w="0" w:type="dxa"/>
              <w:left w:w="0" w:type="dxa"/>
              <w:bottom w:w="0" w:type="dxa"/>
              <w:right w:w="0" w:type="dxa"/>
            </w:tcMar>
            <w:vAlign w:val="center"/>
          </w:tcPr>
          <w:p>
            <w:pPr>
              <w:pStyle w:val="TableContents"/>
              <w:bidi w:val="0"/>
              <w:spacing w:lineRule="atLeast" w:line="216" w:before="0" w:after="0"/>
              <w:jc w:val="left"/>
              <w:rPr>
                <w:rFonts w:ascii="Arial;sans-serif" w:hAnsi="Arial;sans-serif"/>
                <w:b w:val="false"/>
                <w:color w:val="000000"/>
                <w:sz w:val="18"/>
              </w:rPr>
            </w:pPr>
            <w:r>
              <w:rPr>
                <w:rFonts w:ascii="Arial;sans-serif" w:hAnsi="Arial;sans-serif"/>
                <w:b w:val="false"/>
                <w:color w:val="000000"/>
                <w:sz w:val="18"/>
              </w:rPr>
              <w:t>Title:</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spacing w:before="216" w:after="283"/>
        <w:jc w:val="left"/>
        <w:rPr/>
      </w:pPr>
      <w:r>
        <w:rPr/>
      </w:r>
    </w:p>
    <w:p>
      <w:pPr>
        <w:pStyle w:val="TextBody"/>
        <w:bidi w:val="0"/>
        <w:spacing w:lineRule="auto" w:line="288" w:before="216" w:after="283"/>
        <w:jc w:val="left"/>
        <w:rPr>
          <w:rFonts w:ascii="Arial;sans-serif" w:hAnsi="Arial;sans-serif"/>
          <w:b w:val="false"/>
          <w:color w:val="000000"/>
          <w:sz w:val="18"/>
        </w:rPr>
      </w:pPr>
      <w:r>
        <w:rPr>
          <w:rFonts w:ascii="Arial;sans-serif" w:hAnsi="Arial;sans-serif"/>
          <w:b w:val="false"/>
          <w:color w:val="000000"/>
          <w:sz w:val="18"/>
        </w:rPr>
        <w:t>Date: August 13, 2026</w:t>
      </w:r>
    </w:p>
    <w:p>
      <w:pPr>
        <w:pStyle w:val="TextBody"/>
        <w:bidi w:val="0"/>
        <w:spacing w:before="216"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419225" cy="323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19225" cy="3238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30"/>
        </w:rPr>
      </w:pPr>
      <w:r>
        <w:rPr>
          <w:rFonts w:ascii="Times New Roman;serif" w:hAnsi="Times New Roman;serif"/>
          <w:b w:val="false"/>
          <w:color w:val="000000"/>
          <w:sz w:val="30"/>
        </w:rPr>
        <w:t>dLocal Reports Second Quarter 2026 Financial Results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TPV reached nearly US$18 billion (+92% year-over-year), the 7th consecutive quarter of 50%+ growth, and continued acceleration over the last 5 quarters.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Record gross profit: US$127 million (+29% year-over-year).</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Operating profit: US$64 million (+15% year-over-year), with Operating Profit/Gross Profit ratio reaching 50% (+6 p.p. quarter-over-quarter); operating leverage to improve in the second half of 2026.</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Net income at US$55 million (+28% year-over-year), diluted EPS $0.18 (vs. $0.14 in 1Q26).</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Adj. Free Cash Flow US$69 million (+41% year-over-year), Adj. FCF/Net income conversion of 125%.</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Guidance update: TPV guidance raised to 60–70% year-over-year and Gross profit to 25–30% year-over-year; Operating profit guidance maintained at 27.5–32.5% year-over-year.</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00"/>
        <w:jc w:val="both"/>
        <w:rPr>
          <w:rFonts w:ascii="Times New Roman;serif" w:hAnsi="Times New Roman;serif"/>
          <w:b w:val="false"/>
          <w:color w:val="000000"/>
          <w:sz w:val="18"/>
        </w:rPr>
      </w:pPr>
      <w:r>
        <w:rPr>
          <w:rFonts w:ascii="Times New Roman;serif" w:hAnsi="Times New Roman;serif"/>
          <w:b w:val="false"/>
          <w:color w:val="000000"/>
          <w:sz w:val="18"/>
        </w:rPr>
        <w:t>Montevideo, Uruguay, August 13, 2026 — DLocal Limited (“dLocal”, “we”, “us”, and “our”) (NASDAQ:DLO), the leading cross-border financial infrastructure platform connecting global merchants to emerging markets, today announced its financial results for the second quarter ended June 30, 2026.</w:t>
      </w:r>
    </w:p>
    <w:p>
      <w:pPr>
        <w:pStyle w:val="TextBody"/>
        <w:bidi w:val="0"/>
        <w:spacing w:lineRule="auto" w:line="288" w:before="0" w:after="100"/>
        <w:jc w:val="both"/>
        <w:rPr/>
      </w:pPr>
      <w:r>
        <w:rPr>
          <w:rFonts w:ascii="Times New Roman;serif" w:hAnsi="Times New Roman;serif"/>
          <w:b w:val="false"/>
          <w:color w:val="000000"/>
          <w:sz w:val="18"/>
        </w:rPr>
        <w:t xml:space="preserve">dLocal’s management team will host a conference call and audio webcast on August 13, 2026 at 5:00 p.m. Eastern Time. Please </w:t>
      </w:r>
      <w:r>
        <w:rPr>
          <w:rFonts w:ascii="Times New Roman;serif" w:hAnsi="Times New Roman;serif"/>
          <w:b w:val="false"/>
          <w:color w:val="1155CC"/>
          <w:sz w:val="18"/>
          <w:u w:val="single"/>
        </w:rPr>
        <w:t>click here</w:t>
      </w:r>
      <w:r>
        <w:rPr>
          <w:color w:val="000000"/>
        </w:rPr>
        <w:t xml:space="preserve"> </w:t>
      </w:r>
      <w:r>
        <w:rPr>
          <w:rFonts w:ascii="Times New Roman;serif" w:hAnsi="Times New Roman;serif"/>
          <w:b w:val="false"/>
          <w:color w:val="000000"/>
          <w:sz w:val="18"/>
        </w:rPr>
        <w:t>to pre-register for the conference call and obtain your dial in number and passcode.</w:t>
      </w:r>
    </w:p>
    <w:p>
      <w:pPr>
        <w:pStyle w:val="TextBody"/>
        <w:bidi w:val="0"/>
        <w:spacing w:lineRule="auto" w:line="288" w:before="0" w:after="100"/>
        <w:jc w:val="both"/>
        <w:rPr/>
      </w:pPr>
      <w:r>
        <w:rPr>
          <w:rFonts w:ascii="Times New Roman;serif" w:hAnsi="Times New Roman;serif"/>
          <w:b w:val="false"/>
          <w:color w:val="000000"/>
          <w:sz w:val="18"/>
        </w:rPr>
        <w:t xml:space="preserve">The live conference call can be accessed via audio webcast at the investor relations section of dLocal’s website, at https://investor.dlocal.com/. An archive of the webcast will be available for a year following the conclusion of the conference call. The investor presentation will also be filed on EDGAR at </w:t>
      </w:r>
      <w:r>
        <w:rPr>
          <w:rFonts w:ascii="Times New Roman;serif" w:hAnsi="Times New Roman;serif"/>
          <w:b w:val="false"/>
          <w:color w:val="1155CC"/>
          <w:sz w:val="18"/>
          <w:u w:val="single"/>
        </w:rPr>
        <w:t>www.sec.gov</w:t>
      </w:r>
      <w:r>
        <w:rPr>
          <w:rFonts w:ascii="Times New Roman;serif" w:hAnsi="Times New Roman;serif"/>
          <w:b w:val="false"/>
          <w:color w:val="000000"/>
          <w:sz w:val="18"/>
        </w:rPr>
        <w:t>.</w:t>
      </w:r>
    </w:p>
    <w:p>
      <w:pPr>
        <w:pStyle w:val="TextBody"/>
        <w:bidi w:val="0"/>
        <w:spacing w:before="0" w:after="100"/>
        <w:jc w:val="both"/>
        <w:rPr/>
      </w:pPr>
      <w:r>
        <w:rPr/>
      </w:r>
    </w:p>
    <w:p>
      <w:pPr>
        <w:pStyle w:val="TextBody"/>
        <w:bidi w:val="0"/>
        <w:spacing w:lineRule="auto" w:line="319" w:before="0" w:after="0"/>
        <w:jc w:val="both"/>
        <w:rPr>
          <w:color w:val="000000"/>
        </w:rPr>
      </w:pPr>
      <w:r>
        <w:rPr>
          <w:color w:val="000000"/>
        </w:rPr>
        <w:t>“</w:t>
      </w:r>
      <w:r>
        <w:rPr>
          <w:rFonts w:ascii="Times New Roman;serif" w:hAnsi="Times New Roman;serif"/>
          <w:b w:val="false"/>
          <w:i/>
          <w:color w:val="000000"/>
          <w:sz w:val="18"/>
        </w:rPr>
        <w:t>TPV growth has remained above 50% year-over-year for seven consecutive quarters, with the last three quarters at or above 70%. Growth has also accelerated over the past five quarters, reaching its highest year-over-year rate in four years. Although the pace and scale of this growth will naturally create more demanding comparisons as we move through the second half of the year and into 2027, what we are seeing today reflects the positive returns on the investments we have made in our platform and portfolio of licenses. It is also a testament to the trust merchants place in us as they build and grow across emerging markets,” said Pedro Arnt, CEO of dLocal.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18"/>
        </w:rPr>
      </w:pPr>
      <w:r>
        <w:rPr>
          <w:rFonts w:ascii="Times New Roman;serif" w:hAnsi="Times New Roman;serif"/>
          <w:b/>
          <w:color w:val="000000"/>
          <w:sz w:val="18"/>
        </w:rPr>
        <w:t>Second quarter 2026 financial highlights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dLocal reports in US dollars and in accordance with IFRS as issued by the IASB</w:t>
      </w:r>
    </w:p>
    <w:p>
      <w:pPr>
        <w:pStyle w:val="TextBody"/>
        <w:bidi w:val="0"/>
        <w:spacing w:before="0" w:after="0"/>
        <w:jc w:val="left"/>
        <w:rPr/>
      </w:pPr>
      <w:r>
        <w:rPr/>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Total Payment Volume (“TPV”) reached US$17.7 billion in the second quarter of 2026, up 92% year-over-year compared to US$9.2 billion in the second quarter of 2025 and up 26% compared to US$14.1 billion in the first quarter of 2026. In constant currency, TPV growth for the period would have been 80% year-over-year.</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Revenues amounted to US$399.7 million, up 56% year-over-year compared to US$256.5 million in the second quarter of 2025 and up 19% compared to US$335.9 million in the first quarter of 2026. In constant currency, revenue growth for the period would have been 50% year-over-year. The quarter-over-quarter comparison was driven by volume growth.</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 xml:space="preserve">Gross profit was US$127.2 million in the second quarter of 2026, a new record, up 29% compared to US$98.9 million in the second quarter of 2025 and up 7% compared to US$118.7 million in the first quarter of 2026. In constant currency, gross profit growth for the period would have been 23% year-over-year. The quarterly comparison was driven by (i) Brazil, supported by the ramp-up of ride-hailing and travel merchants alongside sustained e-commerce growth; (ii) Argentina, driven by broad-based growth across e-commerce, ride-hailing and on-demand delivery, as well as lower advancement costs; partially offset by (iii) Mexico, with large Tier 0 merchants hitting higher volume pricing tier along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00"/>
        <w:jc w:val="both"/>
        <w:rPr>
          <w:rFonts w:ascii="Times New Roman;serif" w:hAnsi="Times New Roman;serif"/>
          <w:b w:val="false"/>
          <w:color w:val="000000"/>
          <w:sz w:val="18"/>
        </w:rPr>
      </w:pPr>
      <w:r>
        <w:rPr>
          <w:rFonts w:ascii="Times New Roman;serif" w:hAnsi="Times New Roman;serif"/>
          <w:b w:val="false"/>
          <w:color w:val="000000"/>
          <w:sz w:val="18"/>
        </w:rPr>
        <w:t>with cost pressure. Underlying volume and revenue growth (64% YoY) remain solid; and (iv) Africa and Asia, with lower contribution from higher FX spread markets (Mozambique and Vietnam) and one-off cost increase in Nigeria.</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As a result, gross profit margin was 32% in this quarter, compared to 39% in the second quarter of 2025 and 35% in the first quarter of 2026.</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Gross profit over TPV was at 0.72%, decreasing from 1.07% in the second quarter of 2025 and from 0.84% in the first quarter of 2026, reflecting the higher local-to-local share, the ramp-up of large merchants, and the natural margin dynamics of scaling volume with established merchants and into new payment methods, products, and countries.</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Operating expenses reached US$63.0 million for the second quarter of 2026, up 46% year-over-year and down 4% quarter-over-quarter. The year- over-year increase reflects the annualization of investments made in the second half of 2025, higher average salaries driven by the annual merit cycle and a limited number of senior strategic hires, and higher marketing spend concentrated in the first half around the World Cup campaign and large merchant events. The sequential decrease partly reflects the absence of the US$4.4 million non-recurring prior-year tax item recorded in OPEX in the first quarter of 2026.</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As a result, Operating profit was US$64.2 million, up 15% year-over-year and 22% quarter-over- quarter. The Operating Profit to Gross Profit ratio was 50%, up 6 p.p. quarter-over-quarter compared to 44% as reported in the first quarter of 2026 and down 6 p.p. year-over-year compared to 56% as reported in the second quarter of 2025.</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Net financial result was a US$2.3 million gain, compared to a net finance loss of US$3.8 million in the second quarter of 2025 and a net finance gain of US$5.2 million in the first quarter of 2026.</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Our effective income tax rate for the period was approximately 16%, in line with the second quarter of 2025 and lower when compared to 26% for the first quarter of 2026, which was elevated by the non-recurring prior-period adjustment, as explained in the previous quarter.</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 xml:space="preserve">Net income for the second quarter of 2026 was US$54.8 million, or US$0.18 per diluted share, up 28% compared to a profit of US$42.8 million, or US$0.14 per diluted share, for the second quarter of 2025, and up 31% compared to a profit of US$41.9 million, or US$0.14 per diluted share, for the first quarter of 2026. The quarterly comparison is explained by higher operational profit and lower tax expenses. </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Adjusted free cash flow for the second quarter of 2026 amounted to US$68.5 million, up 41% year-over-year compared to US$48.4 million in the second quarter of 2025, and up substantially compared to US$14.7 million in the first quarter of 2026. The improvement reflects the normalization of the temporary working-capital effects (including timing in tax-credit netting and receivables from advancement operations) that had weighed on the first quarter of 2026.</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As of June 30, 2026, dLocal had US$794.9 million in total cash and cash equivalents, which includes US$369.1 million of Corporate cash and cash equivalents. The Corporate cash and cash equivalents increased by US$115.3 million from US$253.8 million as of June 30, 2025. When compared to the US$451.8 million Corporate cash and cash equivalents position as of March 31, 2026, it decreased by US$82.7 million quarter-over-quarter, explained by the dividends payment and execution of the share repurchase program. Under the $300 million program authorized in March 2026, the Company has repurchased approximately 6.9 million Class A shares for US$86.1 million through the end of the second quarter.</w:t>
      </w:r>
    </w:p>
    <w:p>
      <w:pPr>
        <w:pStyle w:val="TextBody"/>
        <w:bidi w:val="0"/>
        <w:spacing w:lineRule="auto" w:line="319" w:before="0" w:after="100"/>
        <w:ind w:left="0" w:right="0" w:hanging="360"/>
        <w:jc w:val="both"/>
        <w:rPr/>
      </w:pPr>
      <w:r>
        <w:rPr>
          <w:color w:val="000000"/>
        </w:rPr>
        <w:t>●</w:t>
      </w:r>
      <w:r>
        <w:rPr>
          <w:rFonts w:ascii="Times New Roman;serif" w:hAnsi="Times New Roman;serif"/>
          <w:b w:val="false"/>
          <w:color w:val="000000"/>
          <w:sz w:val="18"/>
        </w:rPr>
        <w:t>Before the date of this release, and following the Board of Directors’ approval of the Company’s financial statements for the second quarter of 2026, ended June 30, 2026, on August 12, 2026 we entered into a credit agreement with certain of our subsidiaries as initial guarantors and the lenders party thereto, providing for a U.S.$150.0 million senior unsecured credit facility. The facility matures on August 14, 2029, and is repayable in 11 equal, quarterly installments of US$13.6 million each, plus interest, commencing six months following the borrowing date, as specified in the Credit Agreement. Interest accrues at Term SOFR (Secured Overnight Financing Rate) plus 2.00% per annum. The proceeds of the facility are intended to be used for general corporate purposes.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our key performance metrics:</w:t>
      </w:r>
    </w:p>
    <w:p>
      <w:pPr>
        <w:pStyle w:val="TextBody"/>
        <w:bidi w:val="0"/>
        <w:spacing w:before="0" w:after="0"/>
        <w:jc w:val="left"/>
        <w:rPr/>
      </w:pPr>
      <w:r>
        <w:rPr/>
      </w:r>
    </w:p>
    <w:tbl>
      <w:tblPr>
        <w:tblW w:w="6898" w:type="dxa"/>
        <w:jc w:val="left"/>
        <w:tblInd w:w="0" w:type="dxa"/>
        <w:tblLayout w:type="fixed"/>
        <w:tblCellMar>
          <w:top w:w="28" w:type="dxa"/>
          <w:left w:w="28" w:type="dxa"/>
          <w:bottom w:w="28" w:type="dxa"/>
          <w:right w:w="28" w:type="dxa"/>
        </w:tblCellMar>
      </w:tblPr>
      <w:tblGrid>
        <w:gridCol w:w="815"/>
        <w:gridCol w:w="716"/>
        <w:gridCol w:w="718"/>
        <w:gridCol w:w="263"/>
        <w:gridCol w:w="263"/>
        <w:gridCol w:w="263"/>
        <w:gridCol w:w="263"/>
        <w:gridCol w:w="263"/>
        <w:gridCol w:w="263"/>
        <w:gridCol w:w="265"/>
        <w:gridCol w:w="265"/>
        <w:gridCol w:w="266"/>
        <w:gridCol w:w="239"/>
        <w:gridCol w:w="239"/>
        <w:gridCol w:w="239"/>
        <w:gridCol w:w="239"/>
        <w:gridCol w:w="239"/>
        <w:gridCol w:w="239"/>
        <w:gridCol w:w="246"/>
        <w:gridCol w:w="246"/>
        <w:gridCol w:w="34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74"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Three months ended on June 30</w:t>
            </w:r>
          </w:p>
        </w:tc>
        <w:tc>
          <w:tcPr>
            <w:tcW w:w="2275" w:type="dxa"/>
            <w:gridSpan w:val="9"/>
            <w:tcBorders>
              <w:left w:val="single" w:sz="4" w:space="0" w:color="FFFFFF"/>
              <w:right w:val="single" w:sz="4" w:space="0" w:color="FFFFFF"/>
            </w:tcBorders>
            <w:tcMar>
              <w:top w:w="0" w:type="dxa"/>
              <w:bottom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Six months ended on June 30</w:t>
            </w:r>
          </w:p>
        </w:tc>
      </w:tr>
      <w:tr>
        <w:trPr/>
        <w:tc>
          <w:tcPr>
            <w:tcW w:w="22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7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7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71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71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84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Key Performance metrics</w:t>
            </w:r>
          </w:p>
        </w:tc>
        <w:tc>
          <w:tcPr>
            <w:tcW w:w="4649"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millions of US$ except for %)</w:t>
            </w:r>
          </w:p>
        </w:tc>
      </w:tr>
      <w:tr>
        <w:trPr/>
        <w:tc>
          <w:tcPr>
            <w:tcW w:w="2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TPV</w:t>
            </w:r>
          </w:p>
        </w:tc>
        <w:tc>
          <w:tcPr>
            <w:tcW w:w="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17,694</w:t>
            </w:r>
          </w:p>
        </w:tc>
        <w:tc>
          <w:tcPr>
            <w:tcW w:w="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9,212</w:t>
            </w:r>
          </w:p>
        </w:tc>
        <w:tc>
          <w:tcPr>
            <w:tcW w:w="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92%</w:t>
            </w:r>
          </w:p>
        </w:tc>
        <w:tc>
          <w:tcPr>
            <w:tcW w:w="7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31,749</w:t>
            </w:r>
          </w:p>
        </w:tc>
        <w:tc>
          <w:tcPr>
            <w:tcW w:w="7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17,319</w:t>
            </w:r>
          </w:p>
        </w:tc>
        <w:tc>
          <w:tcPr>
            <w:tcW w:w="8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83%</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399.7</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256.5</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56%</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735.5</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473.2</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55%</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127.2</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98.9</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29%</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245.8</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183.8</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34%</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32%</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39%</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-7p.p</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33%</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39%</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-5p.p</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64.2</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55.8</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15%</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116.9</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101.6</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15%</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18"/>
              </w:rPr>
            </w:pPr>
            <w:r>
              <w:rPr>
                <w:rFonts w:ascii="Times New Roman;serif" w:hAnsi="Times New Roman;serif"/>
                <w:b w:val="false"/>
                <w:i/>
                <w:color w:val="000000"/>
                <w:sz w:val="18"/>
              </w:rPr>
              <w:t>Operating Profit/Gross Profit</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50%</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56%</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-6p.p</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48%</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55%</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-8p.p</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54.8</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8"/>
              </w:rPr>
            </w:pPr>
            <w:r>
              <w:rPr>
                <w:rFonts w:ascii="Times New Roman;serif" w:hAnsi="Times New Roman;serif"/>
                <w:b w:val="false"/>
                <w:color w:val="000000"/>
                <w:sz w:val="18"/>
              </w:rPr>
              <w:t>42.8</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28%</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96.7</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89.5</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8%</w:t>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i/>
                <w:color w:val="000000"/>
                <w:sz w:val="18"/>
              </w:rPr>
            </w:pPr>
            <w:r>
              <w:rPr>
                <w:rFonts w:ascii="Times New Roman;serif" w:hAnsi="Times New Roman;serif"/>
                <w:b w:val="false"/>
                <w:i/>
                <w:color w:val="000000"/>
                <w:sz w:val="18"/>
              </w:rPr>
              <w:t>Net Income margin</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14%</w:t>
            </w:r>
          </w:p>
        </w:tc>
        <w:tc>
          <w:tcPr>
            <w:tcW w:w="78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17%</w:t>
            </w:r>
          </w:p>
        </w:tc>
        <w:tc>
          <w:tcPr>
            <w:tcW w:w="796"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-3p.p</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717"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19%</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-6p.p</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Adjusted Free Cash Flow reconciliation</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We calculate “Adjusted Free Cash Flow” as net cash (used in) / generated from cash flows from operating activities, less (i) changes in working capital (merchant), and (ii) capital expenditures. The working capital (merchant) is defined as (i) changes in Trade receivables net (disclosed in Note 17 to our consolidated financial statements for the period ended June 30, 2026), plus (ii) changes in Trade payables (disclosed in Note 20 to our consolidated financial statements for the period ended June 30, 2026), plus (iii) changes in Other tax liabilities (disclosed in note 21 to our consolidated financial statements for the period ended June 30, 2026). Capital expenditures consist of acquisitions of property, plant and equipment and additions of intangible assets.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uses Adjusted Free Cash Flow as a measure for evaluating the Company's cash generation and the cash available for distribution to our shareholders as dividends pursuant to our dividend policy. Adjusted Free Cash Flow is not a financial measure recognized under IFRS and does not purport to be an alternative to cash generated from operating activities or as a measure of liquidity. Our presentation of Adjusted Free Cash Flow has limitations as an analytical tool, and you should not consider it in isolation or as a substitute for analysis of our results as reported under IFRS. See below for a reconciliation of our Adjusted Free Cash Flow to the nearest IFRS measure.</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presents a reconciliation of dLocal’s Adjusted Free Cash Flow reconciliation:</w:t>
      </w:r>
    </w:p>
    <w:p>
      <w:pPr>
        <w:pStyle w:val="TextBody"/>
        <w:bidi w:val="0"/>
        <w:spacing w:before="0" w:after="0"/>
        <w:jc w:val="both"/>
        <w:rPr/>
      </w:pPr>
      <w:r>
        <w:rPr/>
      </w:r>
    </w:p>
    <w:tbl>
      <w:tblPr>
        <w:tblW w:w="8609" w:type="dxa"/>
        <w:jc w:val="left"/>
        <w:tblInd w:w="0" w:type="dxa"/>
        <w:tblLayout w:type="fixed"/>
        <w:tblCellMar>
          <w:top w:w="28" w:type="dxa"/>
          <w:left w:w="28" w:type="dxa"/>
          <w:bottom w:w="28" w:type="dxa"/>
          <w:right w:w="28" w:type="dxa"/>
        </w:tblCellMar>
      </w:tblPr>
      <w:tblGrid>
        <w:gridCol w:w="1433"/>
        <w:gridCol w:w="1259"/>
        <w:gridCol w:w="1267"/>
        <w:gridCol w:w="400"/>
        <w:gridCol w:w="400"/>
        <w:gridCol w:w="400"/>
        <w:gridCol w:w="400"/>
        <w:gridCol w:w="400"/>
        <w:gridCol w:w="400"/>
        <w:gridCol w:w="351"/>
        <w:gridCol w:w="351"/>
        <w:gridCol w:w="351"/>
        <w:gridCol w:w="351"/>
        <w:gridCol w:w="351"/>
        <w:gridCol w:w="495"/>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 in thousands (except percentages)</w:t>
            </w:r>
          </w:p>
        </w:tc>
        <w:tc>
          <w:tcPr>
            <w:tcW w:w="2400" w:type="dxa"/>
            <w:gridSpan w:val="6"/>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Three months ended on June 30</w:t>
            </w:r>
          </w:p>
        </w:tc>
        <w:tc>
          <w:tcPr>
            <w:tcW w:w="2250" w:type="dxa"/>
            <w:gridSpan w:val="6"/>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Six months ended on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105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19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 / generated from operating activities</w:t>
            </w:r>
          </w:p>
        </w:tc>
        <w:tc>
          <w:tcPr>
            <w:tcW w:w="120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140,522</w:t>
            </w:r>
          </w:p>
        </w:tc>
        <w:tc>
          <w:tcPr>
            <w:tcW w:w="120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124,459</w:t>
            </w:r>
          </w:p>
        </w:tc>
        <w:tc>
          <w:tcPr>
            <w:tcW w:w="1053"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233,304</w:t>
            </w:r>
          </w:p>
        </w:tc>
        <w:tc>
          <w:tcPr>
            <w:tcW w:w="1197"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219,872</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working capital (merchant)¹</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(62,064)</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(67,578)</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(130,455)</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(115,748)</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6"/>
              </w:rPr>
            </w:pPr>
            <w:r>
              <w:rPr>
                <w:rFonts w:ascii="Times New Roman;serif" w:hAnsi="Times New Roman;serif"/>
                <w:b w:val="false"/>
                <w:color w:val="000000"/>
                <w:sz w:val="16"/>
              </w:rPr>
              <w:t>Capital expenditures²</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(9,910)</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(8,434)</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(19,649)</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(15,946)</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16"/>
              </w:rPr>
            </w:pPr>
            <w:r>
              <w:rPr>
                <w:rFonts w:ascii="Times New Roman;serif" w:hAnsi="Times New Roman;serif"/>
                <w:b/>
                <w:color w:val="000000"/>
                <w:sz w:val="16"/>
              </w:rPr>
              <w:t>Adjusted Free Cash Flow</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68,548</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48,447</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83,200</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88,176</w:t>
            </w:r>
          </w:p>
        </w:tc>
      </w:tr>
    </w:tbl>
    <w:p>
      <w:pPr>
        <w:pStyle w:val="TextBody"/>
        <w:bidi w:val="0"/>
        <w:spacing w:before="0" w:after="0"/>
        <w:jc w:val="both"/>
        <w:rPr/>
      </w:pPr>
      <w:r>
        <w:rPr/>
      </w:r>
    </w:p>
    <w:p>
      <w:pPr>
        <w:pStyle w:val="TextBody"/>
        <w:bidi w:val="0"/>
        <w:spacing w:lineRule="auto" w:line="319"/>
        <w:jc w:val="both"/>
        <w:rPr/>
      </w:pPr>
      <w:r>
        <w:rPr>
          <w:rFonts w:ascii="Times New Roman;serif" w:hAnsi="Times New Roman;serif"/>
          <w:b w:val="false"/>
          <w:color w:val="000000"/>
          <w:sz w:val="18"/>
        </w:rPr>
        <w:t xml:space="preserve">Note: </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Changes in working capital (merchant) consists of (i) changes in the period in the balance of trade receivables net, plus (ii) changes in the period in the balance of trade payables, plus (iii) changes in the period in the balance of other tax liabilities. </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Capital expenditures consist of acquisitions of property, plant and equipment and Additions of Intangible Assets.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Certain financial information</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Statements of Comprehensive Income for the three-month and six-month periods ended June 30, 2026 and 2025</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8745" w:type="dxa"/>
        <w:jc w:val="left"/>
        <w:tblInd w:w="0" w:type="dxa"/>
        <w:tblLayout w:type="fixed"/>
        <w:tblCellMar>
          <w:top w:w="28" w:type="dxa"/>
          <w:left w:w="28" w:type="dxa"/>
          <w:bottom w:w="28" w:type="dxa"/>
          <w:right w:w="28" w:type="dxa"/>
        </w:tblCellMar>
      </w:tblPr>
      <w:tblGrid>
        <w:gridCol w:w="1482"/>
        <w:gridCol w:w="1301"/>
        <w:gridCol w:w="1312"/>
        <w:gridCol w:w="400"/>
        <w:gridCol w:w="400"/>
        <w:gridCol w:w="400"/>
        <w:gridCol w:w="400"/>
        <w:gridCol w:w="400"/>
        <w:gridCol w:w="400"/>
        <w:gridCol w:w="351"/>
        <w:gridCol w:w="351"/>
        <w:gridCol w:w="351"/>
        <w:gridCol w:w="351"/>
        <w:gridCol w:w="351"/>
        <w:gridCol w:w="495"/>
      </w:tblGrid>
      <w:tr>
        <w:trPr/>
        <w:tc>
          <w:tcPr>
            <w:tcW w:w="148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400" w:type="dxa"/>
            <w:gridSpan w:val="6"/>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Three months ended on June 30</w:t>
            </w:r>
          </w:p>
        </w:tc>
        <w:tc>
          <w:tcPr>
            <w:tcW w:w="2250" w:type="dxa"/>
            <w:gridSpan w:val="6"/>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Six months ended on June 30</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105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19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Continuing operations</w:t>
            </w:r>
          </w:p>
        </w:tc>
        <w:tc>
          <w:tcPr>
            <w:tcW w:w="1200" w:type="dxa"/>
            <w:gridSpan w:val="3"/>
            <w:tcBorders>
              <w:top w:val="single" w:sz="12" w:space="0" w:color="000000"/>
            </w:tcBorders>
            <w:tcMar>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12" w:space="0" w:color="000000"/>
            </w:tcBorders>
            <w:tcMar>
              <w:left w:w="0" w:type="dxa"/>
              <w:bottom w:w="0" w:type="dxa"/>
              <w:right w:w="0" w:type="dxa"/>
            </w:tcMar>
            <w:vAlign w:val="center"/>
          </w:tcPr>
          <w:p>
            <w:pPr>
              <w:pStyle w:val="TableContents"/>
              <w:bidi w:val="0"/>
              <w:spacing w:before="0" w:after="0"/>
              <w:jc w:val="left"/>
              <w:rPr/>
            </w:pPr>
            <w:r>
              <w:rPr/>
            </w:r>
          </w:p>
        </w:tc>
        <w:tc>
          <w:tcPr>
            <w:tcW w:w="1053" w:type="dxa"/>
            <w:gridSpan w:val="3"/>
            <w:tcBorders>
              <w:top w:val="single" w:sz="12" w:space="0" w:color="000000"/>
            </w:tcBorders>
            <w:tcMar>
              <w:left w:w="0" w:type="dxa"/>
              <w:bottom w:w="0" w:type="dxa"/>
              <w:right w:w="0" w:type="dxa"/>
            </w:tcMar>
            <w:vAlign w:val="center"/>
          </w:tcPr>
          <w:p>
            <w:pPr>
              <w:pStyle w:val="TableContents"/>
              <w:bidi w:val="0"/>
              <w:spacing w:before="0" w:after="0"/>
              <w:jc w:val="left"/>
              <w:rPr/>
            </w:pPr>
            <w:r>
              <w:rPr/>
            </w:r>
          </w:p>
        </w:tc>
        <w:tc>
          <w:tcPr>
            <w:tcW w:w="1197" w:type="dxa"/>
            <w:gridSpan w:val="3"/>
            <w:tcBorders>
              <w:top w:val="single" w:sz="12" w:space="0" w:color="000000"/>
            </w:tcBorders>
            <w:tcMar>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Revenues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399,664</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256,458</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735,526</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473,217</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(272,514)</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(157,573)</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(489,692)</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i/>
                <w:color w:val="000000"/>
                <w:sz w:val="16"/>
              </w:rPr>
            </w:pPr>
            <w:r>
              <w:rPr>
                <w:rFonts w:ascii="Times New Roman;serif" w:hAnsi="Times New Roman;serif"/>
                <w:b w:val="false"/>
                <w:i/>
                <w:color w:val="000000"/>
                <w:sz w:val="16"/>
              </w:rPr>
              <w:t>(289,453)</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Gross profit</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127,150</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98,885</w:t>
            </w:r>
          </w:p>
        </w:tc>
        <w:tc>
          <w:tcPr>
            <w:tcW w:w="10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245,834</w:t>
            </w:r>
          </w:p>
        </w:tc>
        <w:tc>
          <w:tcPr>
            <w:tcW w:w="11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183,764</w:t>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Technology and development expenses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(13,298)</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(7,380)</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(25,422)</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(14,147)</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Sales and marketing expenses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(9,892)</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(4,842)</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(19,811)</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(11,977)</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(36,460)</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(27,003)</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(79,117)</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(51,327)</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Impairment (loss)/gain on financial assets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(1,430)</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(1,415)</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(2,210)</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(1,801)</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Other operating loss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(1,909)</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(2,480)</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(2,341)</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(2,902)</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Operating profit</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64,161</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55,765</w:t>
            </w:r>
          </w:p>
        </w:tc>
        <w:tc>
          <w:tcPr>
            <w:tcW w:w="10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116,933</w:t>
            </w:r>
          </w:p>
        </w:tc>
        <w:tc>
          <w:tcPr>
            <w:tcW w:w="11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101,610</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Finance income</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5,067</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11,110</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15,824</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23,338</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Finance costs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(2,757)</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(14,895)</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(8,355)</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(20,154)</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Inflation adjustment</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(1,483)</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(984)</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(2,869)</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(1,869)</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Other results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827</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(4,769)</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4,600</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1,315</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Profit before income tax</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64,988</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50,996</w:t>
            </w:r>
          </w:p>
        </w:tc>
        <w:tc>
          <w:tcPr>
            <w:tcW w:w="10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121,533</w:t>
            </w:r>
          </w:p>
        </w:tc>
        <w:tc>
          <w:tcPr>
            <w:tcW w:w="11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102,925</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(10,213)</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(8,188)</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(24,822)</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(13,450)</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Profit for the period</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54,775</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42,808</w:t>
            </w:r>
          </w:p>
        </w:tc>
        <w:tc>
          <w:tcPr>
            <w:tcW w:w="10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96,711</w:t>
            </w:r>
          </w:p>
        </w:tc>
        <w:tc>
          <w:tcPr>
            <w:tcW w:w="11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89,475</w:t>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Profit attributable to:</w:t>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Owners of the Group</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54,638</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42,810</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96,612</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89,440</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Profit for the period</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54,775</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42,808</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96,711</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89,475</w:t>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Earnings per share (in USD)</w:t>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0.19</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0.15</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0.33</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0.31</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0.18</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0.14</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0.33</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0.30</w:t>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Other comprehensive Income</w:t>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i/>
                <w:color w:val="000000"/>
                <w:sz w:val="16"/>
              </w:rPr>
            </w:pPr>
            <w:r>
              <w:rPr>
                <w:rFonts w:ascii="Times New Roman;serif" w:hAnsi="Times New Roman;serif"/>
                <w:b w:val="false"/>
                <w:i/>
                <w:color w:val="000000"/>
                <w:sz w:val="16"/>
              </w:rPr>
              <w:t>Items that are or may be reclassified to profit or loss: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Arial;sans-serif" w:hAnsi="Arial;sans-serif"/>
                <w:b w:val="false"/>
                <w:color w:val="000000"/>
                <w:sz w:val="16"/>
              </w:rPr>
            </w:pPr>
            <w:r>
              <w:rPr>
                <w:rFonts w:ascii="Arial;sans-serif" w:hAnsi="Arial;sans-serif"/>
                <w:b w:val="false"/>
                <w:color w:val="000000"/>
                <w:sz w:val="16"/>
              </w:rPr>
              <w:t>-</w:t>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Exchange difference on translation on foreign operations</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1,805</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4,303</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4,852</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7,829</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Other comprehensive income for the period, net of tax</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1,805</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4,303</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4,852</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7,829</w:t>
            </w:r>
          </w:p>
        </w:tc>
      </w:tr>
      <w:tr>
        <w:trPr/>
        <w:tc>
          <w:tcPr>
            <w:tcW w:w="40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comprehensive income for the period</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56,580</w:t>
            </w:r>
          </w:p>
        </w:tc>
        <w:tc>
          <w:tcPr>
            <w:tcW w:w="12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47,111</w:t>
            </w:r>
          </w:p>
        </w:tc>
        <w:tc>
          <w:tcPr>
            <w:tcW w:w="10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101,563</w:t>
            </w:r>
          </w:p>
        </w:tc>
        <w:tc>
          <w:tcPr>
            <w:tcW w:w="119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97,304</w:t>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8745" w:type="dxa"/>
            <w:gridSpan w:val="15"/>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comprehensive income for the period is attributable to:</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Owners of the Group</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56,520</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47,010</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101,462</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97,184</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120</w:t>
            </w:r>
          </w:p>
        </w:tc>
      </w:tr>
      <w:tr>
        <w:trPr/>
        <w:tc>
          <w:tcPr>
            <w:tcW w:w="4095" w:type="dxa"/>
            <w:gridSpan w:val="3"/>
            <w:tcBorders/>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Total comprehensive income for the period</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56,580</w:t>
            </w:r>
          </w:p>
        </w:tc>
        <w:tc>
          <w:tcPr>
            <w:tcW w:w="1200"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47,111</w:t>
            </w:r>
          </w:p>
        </w:tc>
        <w:tc>
          <w:tcPr>
            <w:tcW w:w="1053"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101,563</w:t>
            </w:r>
          </w:p>
        </w:tc>
        <w:tc>
          <w:tcPr>
            <w:tcW w:w="1197" w:type="dxa"/>
            <w:gridSpan w:val="3"/>
            <w:tcBorders/>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97,304</w:t>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Certain financial information</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Statements of Financial Position as of June 30, 2026 and 2025</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w:t>
      </w:r>
    </w:p>
    <w:p>
      <w:pPr>
        <w:pStyle w:val="TextBody"/>
        <w:bidi w:val="0"/>
        <w:spacing w:before="0" w:after="0"/>
        <w:jc w:val="both"/>
        <w:rPr/>
      </w:pPr>
      <w:r>
        <w:rPr/>
      </w:r>
    </w:p>
    <w:p>
      <w:pPr>
        <w:pStyle w:val="TextBody"/>
        <w:bidi w:val="0"/>
        <w:spacing w:before="0" w:after="0"/>
        <w:jc w:val="center"/>
        <w:rPr/>
      </w:pPr>
      <w:r>
        <w:rPr/>
      </w:r>
    </w:p>
    <w:tbl>
      <w:tblPr>
        <w:tblW w:w="5280" w:type="dxa"/>
        <w:jc w:val="left"/>
        <w:tblInd w:w="0" w:type="dxa"/>
        <w:tblLayout w:type="fixed"/>
        <w:tblCellMar>
          <w:top w:w="28" w:type="dxa"/>
          <w:left w:w="28" w:type="dxa"/>
          <w:bottom w:w="28" w:type="dxa"/>
          <w:right w:w="28" w:type="dxa"/>
        </w:tblCellMar>
      </w:tblPr>
      <w:tblGrid>
        <w:gridCol w:w="1092"/>
        <w:gridCol w:w="961"/>
        <w:gridCol w:w="962"/>
        <w:gridCol w:w="369"/>
        <w:gridCol w:w="369"/>
        <w:gridCol w:w="372"/>
        <w:gridCol w:w="338"/>
        <w:gridCol w:w="338"/>
        <w:gridCol w:w="479"/>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2026</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01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10" w:type="dxa"/>
            <w:gridSpan w:val="3"/>
            <w:tcBorders>
              <w:left w:val="single" w:sz="12" w:space="0" w:color="FFFFFF"/>
            </w:tcBorders>
            <w:shd w:fill="FFFFFF" w:val="clear"/>
            <w:tcMar>
              <w:top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on June 30, 2026</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on June 30, 2025</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ASSETS</w:t>
            </w:r>
          </w:p>
        </w:tc>
        <w:tc>
          <w:tcPr>
            <w:tcW w:w="1110" w:type="dxa"/>
            <w:gridSpan w:val="3"/>
            <w:tcBorders>
              <w:top w:val="single" w:sz="12" w:space="0" w:color="000000"/>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000000"/>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Current Assets</w:t>
            </w:r>
          </w:p>
        </w:tc>
        <w:tc>
          <w:tcPr>
            <w:tcW w:w="111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794,943</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476,939</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Financial assets at fair value through profit or loss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79,214</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125,526</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Trade and other receivables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1,149,456</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487,320</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169</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691</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25,055</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29,888</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Current Assets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2,048,837</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1,120,364</w:t>
            </w:r>
          </w:p>
        </w:tc>
      </w:tr>
      <w:tr>
        <w:trPr/>
        <w:tc>
          <w:tcPr>
            <w:tcW w:w="301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1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Non-Current Assets</w:t>
            </w:r>
          </w:p>
        </w:tc>
        <w:tc>
          <w:tcPr>
            <w:tcW w:w="111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Trade and other receivables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24,737</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14,698</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Deferred tax assets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4,173</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5,961</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3,864</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4,208</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Right-of-use assets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2,752</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4,124</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Intangible assets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94,850</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68,165</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6,550</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5,782</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3,792</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Non-Current Assets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142,708</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100,948</w:t>
            </w:r>
          </w:p>
        </w:tc>
      </w:tr>
      <w:tr>
        <w:trPr/>
        <w:tc>
          <w:tcPr>
            <w:tcW w:w="3015" w:type="dxa"/>
            <w:gridSpan w:val="3"/>
            <w:tcBorders>
              <w:top w:val="single" w:sz="6" w:space="0" w:color="000000"/>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ASSETS</w:t>
            </w:r>
          </w:p>
        </w:tc>
        <w:tc>
          <w:tcPr>
            <w:tcW w:w="1110" w:type="dxa"/>
            <w:gridSpan w:val="3"/>
            <w:tcBorders>
              <w:top w:val="single" w:sz="6" w:space="0" w:color="000000"/>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2,191,545</w:t>
            </w:r>
          </w:p>
        </w:tc>
        <w:tc>
          <w:tcPr>
            <w:tcW w:w="1155" w:type="dxa"/>
            <w:gridSpan w:val="3"/>
            <w:tcBorders>
              <w:top w:val="single" w:sz="6" w:space="0" w:color="000000"/>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1,221,312</w:t>
            </w:r>
          </w:p>
        </w:tc>
      </w:tr>
      <w:tr>
        <w:trPr/>
        <w:tc>
          <w:tcPr>
            <w:tcW w:w="301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1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LIABILITIES</w:t>
            </w:r>
          </w:p>
        </w:tc>
        <w:tc>
          <w:tcPr>
            <w:tcW w:w="111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Current Liabilities</w:t>
            </w:r>
          </w:p>
        </w:tc>
        <w:tc>
          <w:tcPr>
            <w:tcW w:w="111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Trade and other payables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1,554,943</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691,081</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Lease liabilities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1,113</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1,201</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Tax liabilities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19,351</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14,330</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1,928</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2,555</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Financial liabilities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64,632</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56,806</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Provisions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759</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544</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Current Liabilities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1,642,726</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766,517</w:t>
            </w:r>
          </w:p>
        </w:tc>
      </w:tr>
      <w:tr>
        <w:trPr/>
        <w:tc>
          <w:tcPr>
            <w:tcW w:w="3015"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1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Non-Current Liabilities</w:t>
            </w:r>
          </w:p>
        </w:tc>
        <w:tc>
          <w:tcPr>
            <w:tcW w:w="1110"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Deferred tax liabilities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6,676</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3,918</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Lease liabilities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1,626</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2,696</w:t>
            </w:r>
          </w:p>
        </w:tc>
      </w:tr>
      <w:tr>
        <w:trPr/>
        <w:tc>
          <w:tcPr>
            <w:tcW w:w="3015"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Non-Current Liabilities</w:t>
            </w:r>
          </w:p>
        </w:tc>
        <w:tc>
          <w:tcPr>
            <w:tcW w:w="1110"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8,302</w:t>
            </w:r>
          </w:p>
        </w:tc>
        <w:tc>
          <w:tcPr>
            <w:tcW w:w="1155"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6,615</w:t>
            </w:r>
          </w:p>
        </w:tc>
      </w:tr>
      <w:tr>
        <w:trPr/>
        <w:tc>
          <w:tcPr>
            <w:tcW w:w="3015" w:type="dxa"/>
            <w:gridSpan w:val="3"/>
            <w:tcBorders>
              <w:top w:val="single" w:sz="6" w:space="0" w:color="000000"/>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LIABILITIES</w:t>
            </w:r>
          </w:p>
        </w:tc>
        <w:tc>
          <w:tcPr>
            <w:tcW w:w="1110" w:type="dxa"/>
            <w:gridSpan w:val="3"/>
            <w:tcBorders>
              <w:top w:val="single" w:sz="6" w:space="0" w:color="000000"/>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1,651,028</w:t>
            </w:r>
          </w:p>
        </w:tc>
        <w:tc>
          <w:tcPr>
            <w:tcW w:w="1155" w:type="dxa"/>
            <w:gridSpan w:val="3"/>
            <w:tcBorders>
              <w:top w:val="single" w:sz="6" w:space="0" w:color="000000"/>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773,131</w:t>
            </w:r>
          </w:p>
        </w:tc>
      </w:tr>
      <w:tr>
        <w:trPr/>
        <w:tc>
          <w:tcPr>
            <w:tcW w:w="3015" w:type="dxa"/>
            <w:gridSpan w:val="3"/>
            <w:tcBorders>
              <w:top w:val="single" w:sz="12" w:space="0" w:color="FFFFFF"/>
              <w:left w:val="single" w:sz="12" w:space="0" w:color="FFFFFF"/>
              <w:bottom w:val="single" w:sz="12" w:space="0" w:color="FFFFFF"/>
            </w:tcBorders>
            <w:shd w:fill="FFFFFF" w:val="clear"/>
            <w:tcMar>
              <w:right w:w="0" w:type="dxa"/>
            </w:tcMar>
            <w:vAlign w:val="center"/>
          </w:tcPr>
          <w:p>
            <w:pPr>
              <w:pStyle w:val="TableContents"/>
              <w:bidi w:val="0"/>
              <w:spacing w:before="0" w:after="0"/>
              <w:jc w:val="left"/>
              <w:rPr/>
            </w:pPr>
            <w:r>
              <w:rPr/>
            </w:r>
          </w:p>
        </w:tc>
        <w:tc>
          <w:tcPr>
            <w:tcW w:w="1110" w:type="dxa"/>
            <w:gridSpan w:val="3"/>
            <w:tcBorders>
              <w:top w:val="single" w:sz="12" w:space="0" w:color="FFFFFF"/>
              <w:left w:val="single" w:sz="12" w:space="0" w:color="FFFFFF"/>
              <w:bottom w:val="single" w:sz="12" w:space="0" w:color="FFFFFF"/>
            </w:tcBorders>
            <w:shd w:fill="FFFFFF" w:val="clear"/>
            <w:tcMar>
              <w:right w:w="0" w:type="dxa"/>
            </w:tcMar>
            <w:vAlign w:val="center"/>
          </w:tcPr>
          <w:p>
            <w:pPr>
              <w:pStyle w:val="TableContents"/>
              <w:bidi w:val="0"/>
              <w:spacing w:before="0" w:after="0"/>
              <w:jc w:val="left"/>
              <w:rPr/>
            </w:pPr>
            <w:r>
              <w:rPr/>
            </w:r>
          </w:p>
        </w:tc>
        <w:tc>
          <w:tcPr>
            <w:tcW w:w="1155" w:type="dxa"/>
            <w:gridSpan w:val="3"/>
            <w:tcBorders>
              <w:top w:val="single" w:sz="12" w:space="0" w:color="FFFFFF"/>
              <w:left w:val="single" w:sz="12" w:space="0" w:color="FFFFFF"/>
              <w:bottom w:val="single" w:sz="12" w:space="0" w:color="FFFFFF"/>
              <w:right w:val="single" w:sz="12" w:space="0" w:color="FFFFFF"/>
            </w:tcBorders>
            <w:shd w:fill="FFFFFF" w:val="clear"/>
            <w:vAlign w:val="center"/>
          </w:tcPr>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456" w:type="dxa"/>
        <w:jc w:val="left"/>
        <w:tblInd w:w="0" w:type="dxa"/>
        <w:tblLayout w:type="fixed"/>
        <w:tblCellMar>
          <w:top w:w="28" w:type="dxa"/>
          <w:left w:w="28" w:type="dxa"/>
          <w:bottom w:w="28" w:type="dxa"/>
          <w:right w:w="28" w:type="dxa"/>
        </w:tblCellMar>
      </w:tblPr>
      <w:tblGrid>
        <w:gridCol w:w="1097"/>
        <w:gridCol w:w="963"/>
        <w:gridCol w:w="969"/>
        <w:gridCol w:w="232"/>
        <w:gridCol w:w="232"/>
        <w:gridCol w:w="227"/>
        <w:gridCol w:w="214"/>
        <w:gridCol w:w="214"/>
        <w:gridCol w:w="308"/>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EQUITY</w:t>
            </w:r>
          </w:p>
        </w:tc>
        <w:tc>
          <w:tcPr>
            <w:tcW w:w="691" w:type="dxa"/>
            <w:gridSpan w:val="3"/>
            <w:tcBorders>
              <w:top w:val="single" w:sz="12" w:space="0" w:color="FFFFFF"/>
              <w:left w:val="single" w:sz="12" w:space="0" w:color="FFFFFF"/>
            </w:tcBorders>
            <w:shd w:fill="FFFFFF" w:val="clear"/>
            <w:tcMar>
              <w:bottom w:w="0" w:type="dxa"/>
              <w:right w:w="0" w:type="dxa"/>
            </w:tcMar>
            <w:vAlign w:val="center"/>
          </w:tcPr>
          <w:p>
            <w:pPr>
              <w:pStyle w:val="TableContents"/>
              <w:bidi w:val="0"/>
              <w:spacing w:before="0" w:after="0"/>
              <w:jc w:val="left"/>
              <w:rPr/>
            </w:pPr>
            <w:r>
              <w:rPr/>
            </w:r>
          </w:p>
        </w:tc>
        <w:tc>
          <w:tcPr>
            <w:tcW w:w="736" w:type="dxa"/>
            <w:gridSpan w:val="3"/>
            <w:tcBorders>
              <w:top w:val="single" w:sz="12" w:space="0" w:color="FFFFFF"/>
              <w:left w:val="single" w:sz="12" w:space="0" w:color="FFFFFF"/>
              <w:right w:val="single" w:sz="12" w:space="0" w:color="FFFFFF"/>
            </w:tcBorders>
            <w:shd w:fill="FFFFFF" w:val="clear"/>
            <w:tcMar>
              <w:bottom w:w="0" w:type="dxa"/>
            </w:tcMar>
            <w:vAlign w:val="center"/>
          </w:tcPr>
          <w:p>
            <w:pPr>
              <w:pStyle w:val="TableContents"/>
              <w:bidi w:val="0"/>
              <w:spacing w:before="0" w:after="0"/>
              <w:jc w:val="left"/>
              <w:rPr/>
            </w:pPr>
            <w:r>
              <w:rPr/>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Share Capital</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576</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587</w:t>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Share Premium</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192,820</w:t>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Treasury Shares</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(200,980)</w:t>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Capital Reserve</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55,453</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39,241</w:t>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Other Reserves</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(11,035)</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(13,190)</w:t>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Retained earnings</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495,254</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429,482</w:t>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Equity Attributable to owners of the Group</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540,248</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447,960</w:t>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269</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val="false"/>
                <w:color w:val="000000"/>
                <w:sz w:val="14"/>
              </w:rPr>
            </w:pPr>
            <w:r>
              <w:rPr>
                <w:rFonts w:ascii="Times New Roman;serif" w:hAnsi="Times New Roman;serif"/>
                <w:b w:val="false"/>
                <w:color w:val="000000"/>
                <w:sz w:val="14"/>
              </w:rPr>
              <w:t>220</w:t>
            </w:r>
          </w:p>
        </w:tc>
      </w:tr>
      <w:tr>
        <w:trPr/>
        <w:tc>
          <w:tcPr>
            <w:tcW w:w="3029"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EQUITY</w:t>
            </w:r>
          </w:p>
        </w:tc>
        <w:tc>
          <w:tcPr>
            <w:tcW w:w="691" w:type="dxa"/>
            <w:gridSpan w:val="3"/>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540,517</w:t>
            </w:r>
          </w:p>
        </w:tc>
        <w:tc>
          <w:tcPr>
            <w:tcW w:w="736" w:type="dxa"/>
            <w:gridSpan w:val="3"/>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448,180</w:t>
            </w:r>
          </w:p>
        </w:tc>
      </w:tr>
      <w:tr>
        <w:trPr/>
        <w:tc>
          <w:tcPr>
            <w:tcW w:w="3029" w:type="dxa"/>
            <w:gridSpan w:val="3"/>
            <w:tcBorders>
              <w:top w:val="single" w:sz="6" w:space="0" w:color="000000"/>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192" w:before="0" w:after="0"/>
              <w:jc w:val="left"/>
              <w:rPr>
                <w:rFonts w:ascii="Times New Roman;serif" w:hAnsi="Times New Roman;serif"/>
                <w:b/>
                <w:color w:val="000000"/>
                <w:sz w:val="14"/>
              </w:rPr>
            </w:pPr>
            <w:r>
              <w:rPr>
                <w:rFonts w:ascii="Times New Roman;serif" w:hAnsi="Times New Roman;serif"/>
                <w:b/>
                <w:color w:val="000000"/>
                <w:sz w:val="14"/>
              </w:rPr>
              <w:t>TOTAL EQUITY AND LIABILITIES</w:t>
            </w:r>
          </w:p>
        </w:tc>
        <w:tc>
          <w:tcPr>
            <w:tcW w:w="691" w:type="dxa"/>
            <w:gridSpan w:val="3"/>
            <w:tcBorders>
              <w:top w:val="single" w:sz="6" w:space="0" w:color="000000"/>
              <w:left w:val="single" w:sz="12" w:space="0" w:color="FFFFFF"/>
              <w:bottom w:val="single" w:sz="12" w:space="0" w:color="FFFFFF"/>
            </w:tcBorders>
            <w:shd w:fill="FFFFFF" w:val="clear"/>
            <w:tcMar>
              <w:top w:w="30" w:type="dxa"/>
              <w:bottom w:w="30" w:type="dxa"/>
              <w:right w:w="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2,191,545</w:t>
            </w:r>
          </w:p>
        </w:tc>
        <w:tc>
          <w:tcPr>
            <w:tcW w:w="736" w:type="dxa"/>
            <w:gridSpan w:val="3"/>
            <w:tcBorders>
              <w:top w:val="single" w:sz="6" w:space="0" w:color="000000"/>
              <w:left w:val="single" w:sz="12" w:space="0" w:color="FFFFFF"/>
              <w:bottom w:val="single" w:sz="12" w:space="0" w:color="FFFFFF"/>
              <w:right w:val="single" w:sz="12" w:space="0" w:color="FFFFFF"/>
            </w:tcBorders>
            <w:shd w:fill="FFFFFF" w:val="clear"/>
            <w:tcMar>
              <w:top w:w="30" w:type="dxa"/>
              <w:bottom w:w="30" w:type="dxa"/>
            </w:tcMar>
            <w:vAlign w:val="center"/>
          </w:tcPr>
          <w:p>
            <w:pPr>
              <w:pStyle w:val="TableContents"/>
              <w:bidi w:val="0"/>
              <w:spacing w:lineRule="auto" w:line="192" w:before="0" w:after="0"/>
              <w:jc w:val="center"/>
              <w:rPr>
                <w:rFonts w:ascii="Times New Roman;serif" w:hAnsi="Times New Roman;serif"/>
                <w:b/>
                <w:color w:val="000000"/>
                <w:sz w:val="14"/>
              </w:rPr>
            </w:pPr>
            <w:r>
              <w:rPr>
                <w:rFonts w:ascii="Times New Roman;serif" w:hAnsi="Times New Roman;serif"/>
                <w:b/>
                <w:color w:val="000000"/>
                <w:sz w:val="14"/>
              </w:rPr>
              <w:t>1,221,312</w:t>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dLocal Limited</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Certain interim financial information.</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Consolidated Statements of Cash flows for the the three-month and six-month periods ended June 30, 2026 and 2025</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(All amounts in thousands of U.S. dollars)</w:t>
      </w:r>
    </w:p>
    <w:p>
      <w:pPr>
        <w:pStyle w:val="TextBody"/>
        <w:bidi w:val="0"/>
        <w:spacing w:before="0" w:after="0"/>
        <w:jc w:val="left"/>
        <w:rPr/>
      </w:pPr>
      <w:r>
        <w:rPr/>
      </w:r>
    </w:p>
    <w:p>
      <w:pPr>
        <w:pStyle w:val="TextBody"/>
        <w:bidi w:val="0"/>
        <w:spacing w:before="0" w:after="0"/>
        <w:jc w:val="left"/>
        <w:rPr/>
      </w:pPr>
      <w:r>
        <w:rPr/>
      </w:r>
    </w:p>
    <w:tbl>
      <w:tblPr>
        <w:tblW w:w="8820" w:type="dxa"/>
        <w:jc w:val="left"/>
        <w:tblInd w:w="0" w:type="dxa"/>
        <w:tblLayout w:type="fixed"/>
        <w:tblCellMar>
          <w:top w:w="28" w:type="dxa"/>
          <w:left w:w="28" w:type="dxa"/>
          <w:bottom w:w="28" w:type="dxa"/>
          <w:right w:w="28" w:type="dxa"/>
        </w:tblCellMar>
      </w:tblPr>
      <w:tblGrid>
        <w:gridCol w:w="1510"/>
        <w:gridCol w:w="1328"/>
        <w:gridCol w:w="1332"/>
        <w:gridCol w:w="400"/>
        <w:gridCol w:w="400"/>
        <w:gridCol w:w="400"/>
        <w:gridCol w:w="400"/>
        <w:gridCol w:w="400"/>
        <w:gridCol w:w="400"/>
        <w:gridCol w:w="351"/>
        <w:gridCol w:w="351"/>
        <w:gridCol w:w="351"/>
        <w:gridCol w:w="351"/>
        <w:gridCol w:w="351"/>
        <w:gridCol w:w="495"/>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400" w:type="dxa"/>
            <w:gridSpan w:val="6"/>
            <w:tcBorders>
              <w:top w:val="single" w:sz="12" w:space="0" w:color="FFFFFF"/>
              <w:left w:val="single" w:sz="12" w:space="0" w:color="FFFFFF"/>
            </w:tcBorders>
            <w:shd w:fill="FFFFFF" w:val="clear"/>
            <w:tcMar>
              <w:top w:w="3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Three months ended on June 30</w:t>
            </w:r>
          </w:p>
        </w:tc>
        <w:tc>
          <w:tcPr>
            <w:tcW w:w="2250" w:type="dxa"/>
            <w:gridSpan w:val="6"/>
            <w:tcBorders>
              <w:top w:val="single" w:sz="12" w:space="0" w:color="FFFFFF"/>
              <w:left w:val="single" w:sz="12" w:space="0" w:color="FFFFFF"/>
              <w:right w:val="single" w:sz="12" w:space="0" w:color="FFFFFF"/>
            </w:tcBorders>
            <w:shd w:fill="FFFFFF" w:val="clear"/>
            <w:tcMar>
              <w:top w:w="30" w:type="dxa"/>
              <w:bottom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Six months ended on June 30</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105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119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20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105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119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Profit before income tax</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64,988</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50,996</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121,533</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102,925</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 from financial instruments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(5,067)</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(5,976)</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(15,657)</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(11,083)</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Interest charges for lease liabilities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Other interests charges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(752)</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1,568</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6,760</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2,452</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Finance expense related to derivative financial instruments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2,932</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3,177</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3,632</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3,591</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Net exchange differences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469</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9,765</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(2,147)</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13,908</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Fair value loss/(gain) on financial assets at FVPL</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(4,791)</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(167)</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(12,134)</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7,328</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5,055</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14,390</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9,639</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disposals of PP&amp;E and right-of-use</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608</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485</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1,261</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1,188</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Share-based payment expense, net of forfeitures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6,489</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4,911</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12,555</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10,931</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Other operating gain</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1,909</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2,480</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2,341</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2,902</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Net Impairment loss/(gain) on financial assets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1,430</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1,415</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2,210</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1,801</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Inflation adjustment and other financial results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2,187</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3,180</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5,050</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9,265</w:t>
            </w:r>
          </w:p>
        </w:tc>
      </w:tr>
      <w:tr>
        <w:trPr/>
        <w:tc>
          <w:tcPr>
            <w:tcW w:w="417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82,574</w:t>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72,306</w:t>
            </w:r>
          </w:p>
        </w:tc>
        <w:tc>
          <w:tcPr>
            <w:tcW w:w="105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151,871</w:t>
            </w:r>
          </w:p>
        </w:tc>
        <w:tc>
          <w:tcPr>
            <w:tcW w:w="119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135,467</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Changes in working capital</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Increase in Trade and other receivables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(410,436)</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(13,046)</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(580,738)</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8,036</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Decrease / (Increase) in Other assets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(4,265)</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1,175</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(18,544)</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2,200</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Increase / (Decrease) in Trade and Other payables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495,664</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76,948</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700,507</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93,294</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Increase / (Decrease) in Tax Liabilities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(7,261)</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(2,928)</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2,316</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(1,963)</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Increase / (Decrease) in Provisions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298</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326</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417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Cash (used) / generated from operating activities</w:t>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156,575</w:t>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134,457</w:t>
            </w:r>
          </w:p>
        </w:tc>
        <w:tc>
          <w:tcPr>
            <w:tcW w:w="105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255,738</w:t>
            </w:r>
          </w:p>
        </w:tc>
        <w:tc>
          <w:tcPr>
            <w:tcW w:w="119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237,078</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paid</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(16,052)</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(9,998)</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(22,434)</w:t>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(17,206)</w:t>
            </w:r>
          </w:p>
        </w:tc>
      </w:tr>
      <w:tr>
        <w:trPr/>
        <w:tc>
          <w:tcPr>
            <w:tcW w:w="417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Net cash (used) / generated from operating activities</w:t>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140,522</w:t>
            </w:r>
          </w:p>
        </w:tc>
        <w:tc>
          <w:tcPr>
            <w:tcW w:w="120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124,459</w:t>
            </w:r>
          </w:p>
        </w:tc>
        <w:tc>
          <w:tcPr>
            <w:tcW w:w="105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233,304</w:t>
            </w:r>
          </w:p>
        </w:tc>
        <w:tc>
          <w:tcPr>
            <w:tcW w:w="119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219,872</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52" w:type="dxa"/>
        <w:jc w:val="left"/>
        <w:tblInd w:w="0" w:type="dxa"/>
        <w:tblLayout w:type="fixed"/>
        <w:tblCellMar>
          <w:top w:w="28" w:type="dxa"/>
          <w:left w:w="28" w:type="dxa"/>
          <w:bottom w:w="28" w:type="dxa"/>
          <w:right w:w="28" w:type="dxa"/>
        </w:tblCellMar>
      </w:tblPr>
      <w:tblGrid>
        <w:gridCol w:w="1943"/>
        <w:gridCol w:w="1708"/>
        <w:gridCol w:w="1719"/>
        <w:gridCol w:w="266"/>
        <w:gridCol w:w="266"/>
        <w:gridCol w:w="277"/>
        <w:gridCol w:w="266"/>
        <w:gridCol w:w="266"/>
        <w:gridCol w:w="277"/>
        <w:gridCol w:w="278"/>
        <w:gridCol w:w="268"/>
        <w:gridCol w:w="263"/>
        <w:gridCol w:w="249"/>
        <w:gridCol w:w="249"/>
        <w:gridCol w:w="357"/>
      </w:tblGrid>
      <w:tr>
        <w:trPr/>
        <w:tc>
          <w:tcPr>
            <w:tcW w:w="194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Acquisitions of Property, plant and equipment</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(515)</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(763)</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(1,460)</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Additions of Intangible assets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(9,669)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(7,919)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(18,886)</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(14,486)</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Acquisition of financial assets </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(65,164)</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(92,090)</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(92,040)</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(133,464)</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Collections of financial assets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83,153</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86,554</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111,123</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133,970</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Interest collected from financial instruments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5,067</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5,977</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15,657</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11,083</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Cash acquired in a business combination</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791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791</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Payments for investments in other assets at FVPL</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(2,500)</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(12,500)</w:t>
            </w:r>
          </w:p>
        </w:tc>
      </w:tr>
      <w:tr>
        <w:trPr/>
        <w:tc>
          <w:tcPr>
            <w:tcW w:w="537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Net cash (used in) / generated investing activities</w:t>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13,936</w:t>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(10,493)</w:t>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15,882</w:t>
            </w:r>
          </w:p>
        </w:tc>
        <w:tc>
          <w:tcPr>
            <w:tcW w:w="85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(16,857)</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shares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(75,940)</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(86,062)</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Share-options exercise paid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940</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257</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940</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(57,211)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(149,982)</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(57,211)</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(149,982)</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Interest payments on lease liability</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Principal payments on lease liability</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382</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(366)</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(1,141)</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Finance expense paid related to derivative financial instruments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601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(1,948)</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(3,300)</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(5,080)</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Net proceeds from financial liabilities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(47,619)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6,224</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(22,266)</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12,014</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Interest payments on financial liabilities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5,306</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(3,835)</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(6,001)</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Other finance expense paid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591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(1,399)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(6,864)</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(2,113)</w:t>
            </w:r>
          </w:p>
        </w:tc>
      </w:tr>
      <w:tr>
        <w:trPr/>
        <w:tc>
          <w:tcPr>
            <w:tcW w:w="537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Net cash used in by financing activities</w:t>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(173,878)</w:t>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(150,520)</w:t>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(175,922)</w:t>
            </w:r>
          </w:p>
        </w:tc>
        <w:tc>
          <w:tcPr>
            <w:tcW w:w="85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(151,445)</w:t>
            </w:r>
          </w:p>
        </w:tc>
      </w:tr>
      <w:tr>
        <w:trPr/>
        <w:tc>
          <w:tcPr>
            <w:tcW w:w="537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Net increase in cash flow</w:t>
            </w:r>
          </w:p>
        </w:tc>
        <w:tc>
          <w:tcPr>
            <w:tcW w:w="8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(19,419)</w:t>
            </w:r>
          </w:p>
        </w:tc>
        <w:tc>
          <w:tcPr>
            <w:tcW w:w="8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(36,554)</w:t>
            </w:r>
          </w:p>
        </w:tc>
        <w:tc>
          <w:tcPr>
            <w:tcW w:w="809"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73,264</w:t>
            </w:r>
          </w:p>
        </w:tc>
        <w:tc>
          <w:tcPr>
            <w:tcW w:w="855"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51,570</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Cash and cash equivalents at the beginning of the period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815,605</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511,506</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719,897</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425,172</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Net (decrease)/increase in cash flow</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(19,419)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(36,554)</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73,264</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51,570</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inflation and cash and cash equivalents</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(1,243)</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1,987</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1,782</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val="false"/>
                <w:color w:val="000000"/>
                <w:sz w:val="16"/>
              </w:rPr>
            </w:pPr>
            <w:r>
              <w:rPr>
                <w:rFonts w:ascii="Times New Roman;serif" w:hAnsi="Times New Roman;serif"/>
                <w:b w:val="false"/>
                <w:color w:val="000000"/>
                <w:sz w:val="16"/>
              </w:rPr>
              <w:t>197</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left"/>
              <w:rPr>
                <w:rFonts w:ascii="Times New Roman;serif" w:hAnsi="Times New Roman;serif"/>
                <w:b/>
                <w:color w:val="000000"/>
                <w:sz w:val="16"/>
              </w:rPr>
            </w:pPr>
            <w:r>
              <w:rPr>
                <w:rFonts w:ascii="Times New Roman;serif" w:hAnsi="Times New Roman;serif"/>
                <w:b/>
                <w:color w:val="000000"/>
                <w:sz w:val="16"/>
              </w:rPr>
              <w:t>Cash and cash equivalents at the end of the period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794,943</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476,939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794,943</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192" w:before="0" w:after="0"/>
              <w:jc w:val="center"/>
              <w:rPr>
                <w:rFonts w:ascii="Times New Roman;serif" w:hAnsi="Times New Roman;serif"/>
                <w:b/>
                <w:color w:val="000000"/>
                <w:sz w:val="16"/>
              </w:rPr>
            </w:pPr>
            <w:r>
              <w:rPr>
                <w:rFonts w:ascii="Times New Roman;serif" w:hAnsi="Times New Roman;serif"/>
                <w:b/>
                <w:color w:val="000000"/>
                <w:sz w:val="16"/>
              </w:rPr>
              <w:t>476,939</w:t>
            </w:r>
          </w:p>
        </w:tc>
      </w:tr>
    </w:tbl>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About dLocal</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dLocal builds financial infrastructure for markets of the future, connecting global enterprises with billions of emerging market consumers in more than 60 countries across high-growth markets in Africa, Asia, the Middle East, and Latin America. Through the "One dLocal" concept (one direct API, one platform, and one contract), global companies can accept payments, send payouts, and settle funds globally without the need to manage multiple local entities and integrations. For more information, visit www.dlocal.com</w:t>
      </w:r>
    </w:p>
    <w:p>
      <w:pPr>
        <w:pStyle w:val="TextBody"/>
        <w:bidi w:val="0"/>
        <w:spacing w:before="0" w:after="100"/>
        <w:jc w:val="both"/>
        <w:rPr/>
      </w:pPr>
      <w:r>
        <w:rPr/>
      </w:r>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This presentation may contain forward-looking statements. These forward-looking statements convey dLocal’s current expectations or forecasts of future events, including guidance in respect of total payment volume, gross profit and operating profit. Forward-looking statements regarding dLocal and amounts stated as guidance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 uncertainties are described in the “Risk Factors,” and “Cautionary Statement Regarding Forward-Looking Statements” sections of dLocal’s filings with the U.S. Securities and Exchange Commission.</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Unless required by law, dLocal undertakes no obligation to publicly update or revise any forward-looking statements to reflect circumstances or events after the date hereof.</w:t>
      </w:r>
    </w:p>
    <w:p>
      <w:pPr>
        <w:pStyle w:val="TextBody"/>
        <w:bidi w:val="0"/>
        <w:spacing w:before="0" w:after="0"/>
        <w:jc w:val="both"/>
        <w:rPr/>
      </w:pPr>
      <w:r>
        <w:rPr/>
      </w:r>
    </w:p>
    <w:p>
      <w:pPr>
        <w:pStyle w:val="TextBody"/>
        <w:bidi w:val="0"/>
        <w:spacing w:lineRule="auto" w:line="319"/>
        <w:jc w:val="both"/>
        <w:rPr>
          <w:rFonts w:ascii="Times New Roman;serif" w:hAnsi="Times New Roman;serif"/>
          <w:b w:val="false"/>
          <w:color w:val="000000"/>
          <w:sz w:val="18"/>
        </w:rPr>
      </w:pPr>
      <w:r>
        <w:rPr>
          <w:rFonts w:ascii="Times New Roman;serif" w:hAnsi="Times New Roman;serif"/>
          <w:b w:val="false"/>
          <w:color w:val="000000"/>
          <w:sz w:val="18"/>
        </w:rPr>
        <w:t>Starting in 2026, we provide guidance in respect of Operating Profit, which management believes is useful as a measure to compare our operating results to the operations of other companies in our industry, and to assess our operating performance independently of our capital structure, tax position, and non-cash depreciation and amortization charges.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Investor Relations Contact:</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investor@dlocal.com</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18"/>
        </w:rPr>
      </w:pPr>
      <w:r>
        <w:rPr>
          <w:rFonts w:ascii="Times New Roman;serif" w:hAnsi="Times New Roman;serif"/>
          <w:b/>
          <w:color w:val="000000"/>
          <w:sz w:val="18"/>
        </w:rPr>
        <w:t>Media Contact:</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media@dlocal.com</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This press release does not contain sufficient information to constitute an interim financial report as defined in International Accounting Standards 34, “Interim Financial Reporting” nor a financial statement as defined by International Accounting Standards 1 “Presentation of Financial Statements”. The second quarter financial information in this press release has not been audited nor has it been subject to any limited review procedures, whereas the annual results for the year ended December 31, 2025 are audited.</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0" w:after="283"/>
        <w:jc w:val="left"/>
        <w:rPr/>
      </w:pPr>
      <w:r>
        <w:rPr/>
      </w:r>
    </w:p>
    <w:p>
      <w:pPr>
        <w:pStyle w:val="TextBody"/>
        <w:bidi w:val="0"/>
        <w:spacing w:lineRule="auto" w:line="288" w:before="1600" w:after="283"/>
        <w:jc w:val="left"/>
        <w:rPr>
          <w:rFonts w:ascii="Times New Roman;serif" w:hAnsi="Times New Roman;serif"/>
          <w:b/>
          <w:color w:val="000000"/>
          <w:sz w:val="36"/>
        </w:rPr>
      </w:pPr>
      <w:r>
        <w:rPr>
          <w:rFonts w:ascii="Times New Roman;serif" w:hAnsi="Times New Roman;serif"/>
          <w:b/>
          <w:color w:val="000000"/>
          <w:sz w:val="36"/>
        </w:rPr>
        <w:t xml:space="preserve">DLocal Limited </w:t>
      </w:r>
    </w:p>
    <w:p>
      <w:pPr>
        <w:pStyle w:val="TextBody"/>
        <w:bidi w:val="0"/>
        <w:spacing w:lineRule="auto" w:line="288" w:before="400" w:after="283"/>
        <w:jc w:val="left"/>
        <w:rPr>
          <w:rFonts w:ascii="Times New Roman;serif" w:hAnsi="Times New Roman;serif"/>
          <w:b/>
          <w:color w:val="000000"/>
          <w:sz w:val="36"/>
        </w:rPr>
      </w:pPr>
      <w:r>
        <w:rPr>
          <w:rFonts w:ascii="Times New Roman;serif" w:hAnsi="Times New Roman;serif"/>
          <w:b/>
          <w:color w:val="000000"/>
          <w:sz w:val="36"/>
        </w:rPr>
        <w:t>Unaudited Consolidated Condensed Interim Financial Statements as of June 30, 2026 and for the six-month and three-month periods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08" w:type="dxa"/>
        <w:jc w:val="left"/>
        <w:tblInd w:w="0" w:type="dxa"/>
        <w:tblLayout w:type="fixed"/>
        <w:tblCellMar>
          <w:top w:w="28" w:type="dxa"/>
          <w:left w:w="28" w:type="dxa"/>
          <w:bottom w:w="28" w:type="dxa"/>
          <w:right w:w="28" w:type="dxa"/>
        </w:tblCellMar>
      </w:tblPr>
      <w:tblGrid>
        <w:gridCol w:w="2355"/>
        <w:gridCol w:w="2075"/>
        <w:gridCol w:w="2079"/>
        <w:gridCol w:w="109"/>
        <w:gridCol w:w="109"/>
        <w:gridCol w:w="109"/>
        <w:gridCol w:w="109"/>
        <w:gridCol w:w="109"/>
        <w:gridCol w:w="154"/>
      </w:tblGrid>
      <w:tr>
        <w:trPr/>
        <w:tc>
          <w:tcPr>
            <w:tcW w:w="235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Consolidated Condensed Interim Statements of Comprehensive Income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six-month and three-month periods ended June 30, 2026 and 2025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Comprehensive Income</w:t>
      </w:r>
    </w:p>
    <w:tbl>
      <w:tblPr>
        <w:tblW w:w="10205" w:type="dxa"/>
        <w:jc w:val="left"/>
        <w:tblInd w:w="0" w:type="dxa"/>
        <w:tblLayout w:type="fixed"/>
        <w:tblCellMar>
          <w:top w:w="28" w:type="dxa"/>
          <w:left w:w="28" w:type="dxa"/>
          <w:bottom w:w="28" w:type="dxa"/>
          <w:right w:w="28" w:type="dxa"/>
        </w:tblCellMar>
      </w:tblPr>
      <w:tblGrid>
        <w:gridCol w:w="1251"/>
        <w:gridCol w:w="997"/>
        <w:gridCol w:w="1003"/>
        <w:gridCol w:w="180"/>
        <w:gridCol w:w="180"/>
        <w:gridCol w:w="181"/>
        <w:gridCol w:w="109"/>
        <w:gridCol w:w="109"/>
        <w:gridCol w:w="109"/>
        <w:gridCol w:w="395"/>
        <w:gridCol w:w="387"/>
        <w:gridCol w:w="283"/>
        <w:gridCol w:w="116"/>
        <w:gridCol w:w="116"/>
        <w:gridCol w:w="116"/>
        <w:gridCol w:w="395"/>
        <w:gridCol w:w="387"/>
        <w:gridCol w:w="283"/>
        <w:gridCol w:w="116"/>
        <w:gridCol w:w="116"/>
        <w:gridCol w:w="116"/>
        <w:gridCol w:w="109"/>
        <w:gridCol w:w="109"/>
        <w:gridCol w:w="395"/>
        <w:gridCol w:w="387"/>
        <w:gridCol w:w="259"/>
        <w:gridCol w:w="181"/>
        <w:gridCol w:w="181"/>
        <w:gridCol w:w="181"/>
        <w:gridCol w:w="181"/>
        <w:gridCol w:w="109"/>
        <w:gridCol w:w="390"/>
        <w:gridCol w:w="392"/>
        <w:gridCol w:w="386"/>
      </w:tblGrid>
      <w:tr>
        <w:trPr/>
        <w:tc>
          <w:tcPr>
            <w:tcW w:w="12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277" w:type="dxa"/>
            <w:gridSpan w:val="4"/>
            <w:tcBorders/>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2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Continuing operations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735,526 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473,217 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399,664 </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256,458 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(489,692)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(289,453)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(272,514)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(157,573)</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245,834</w:t>
            </w:r>
            <w:r>
              <w:rPr>
                <w:color w:val="494949"/>
              </w:rPr>
              <w:t> </w:t>
            </w:r>
          </w:p>
        </w:tc>
        <w:tc>
          <w:tcPr>
            <w:tcW w:w="28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183,764</w:t>
            </w:r>
            <w:r>
              <w:rPr>
                <w:color w:val="494949"/>
              </w:rPr>
              <w:t> </w:t>
            </w:r>
          </w:p>
        </w:tc>
        <w:tc>
          <w:tcPr>
            <w:tcW w:w="28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127,150</w:t>
            </w:r>
            <w:r>
              <w:rPr>
                <w:color w:val="494949"/>
              </w:rPr>
              <w:t> </w:t>
            </w:r>
          </w:p>
        </w:tc>
        <w:tc>
          <w:tcPr>
            <w:tcW w:w="25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98,885</w:t>
            </w:r>
            <w:r>
              <w:rPr>
                <w:color w:val="494949"/>
              </w:rPr>
              <w:t>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 expenses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(25,422)</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(14,147)</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(13,298)</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(7,380)</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expenses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(19,811)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(79,117)</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(51,327)</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(36,460)</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(27,003)</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(loss)/gain on financial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loss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(2,902)</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(1,909)</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(2,480)</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116,933</w:t>
            </w:r>
            <w:r>
              <w:rPr>
                <w:color w:val="494949"/>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101,610</w:t>
            </w:r>
            <w:r>
              <w:rPr>
                <w:color w:val="494949"/>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64,161</w:t>
            </w:r>
            <w:r>
              <w:rPr>
                <w:color w:val="494949"/>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55,765</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costs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(8,355)</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(20,154)</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(2,757)</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(14,895)</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adjustment</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results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4,600</w:t>
            </w:r>
            <w:r>
              <w:rPr>
                <w:color w:val="494949"/>
              </w:rPr>
              <w:t> </w:t>
            </w:r>
          </w:p>
        </w:tc>
        <w:tc>
          <w:tcPr>
            <w:tcW w:w="28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1,315</w:t>
            </w:r>
            <w:r>
              <w:rPr>
                <w:color w:val="494949"/>
              </w:rPr>
              <w:t> </w:t>
            </w:r>
          </w:p>
        </w:tc>
        <w:tc>
          <w:tcPr>
            <w:tcW w:w="28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827</w:t>
            </w:r>
            <w:r>
              <w:rPr>
                <w:color w:val="494949"/>
              </w:rPr>
              <w:t> </w:t>
            </w:r>
          </w:p>
        </w:tc>
        <w:tc>
          <w:tcPr>
            <w:tcW w:w="25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(4,769)</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before income tax</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121,533</w:t>
            </w:r>
            <w:r>
              <w:rPr>
                <w:color w:val="494949"/>
              </w:rPr>
              <w:t>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102,925</w:t>
            </w:r>
            <w:r>
              <w:rPr>
                <w:color w:val="494949"/>
              </w:rPr>
              <w:t>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64,988</w:t>
            </w:r>
            <w:r>
              <w:rPr>
                <w:color w:val="494949"/>
              </w:rPr>
              <w:t> </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50,996</w:t>
            </w:r>
            <w:r>
              <w:rPr>
                <w:color w:val="494949"/>
              </w:rPr>
              <w:t>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(24,822)</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(13,450)</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(10,213)</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(8,188)</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Profit for the period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96,711</w:t>
            </w:r>
            <w:r>
              <w:rPr>
                <w:color w:val="494949"/>
              </w:rPr>
              <w:t> </w:t>
            </w:r>
          </w:p>
        </w:tc>
        <w:tc>
          <w:tcPr>
            <w:tcW w:w="28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89,475</w:t>
            </w:r>
            <w:r>
              <w:rPr>
                <w:color w:val="494949"/>
              </w:rPr>
              <w:t> </w:t>
            </w:r>
          </w:p>
        </w:tc>
        <w:tc>
          <w:tcPr>
            <w:tcW w:w="28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54,775</w:t>
            </w:r>
            <w:r>
              <w:rPr>
                <w:color w:val="494949"/>
              </w:rPr>
              <w:t> </w:t>
            </w:r>
          </w:p>
        </w:tc>
        <w:tc>
          <w:tcPr>
            <w:tcW w:w="25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42,808</w:t>
            </w:r>
            <w:r>
              <w:rPr>
                <w:color w:val="494949"/>
              </w:rPr>
              <w:t>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Profit attributable to:</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Owners of the Group</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89,440 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54,638 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42,810 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Profit for the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96,711</w:t>
            </w:r>
            <w:r>
              <w:rPr>
                <w:color w:val="494949"/>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89,475</w:t>
            </w:r>
            <w:r>
              <w:rPr>
                <w:color w:val="494949"/>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54,775</w:t>
            </w:r>
            <w:r>
              <w:rPr>
                <w:color w:val="494949"/>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42,808</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Items that are or may be reclassified subsequently to profit or loss: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 on translation on foreign operations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for the period, net of tax</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4,852</w:t>
            </w:r>
            <w:r>
              <w:rPr>
                <w:color w:val="494949"/>
              </w:rPr>
              <w:t> </w:t>
            </w:r>
          </w:p>
        </w:tc>
        <w:tc>
          <w:tcPr>
            <w:tcW w:w="28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7,829</w:t>
            </w:r>
            <w:r>
              <w:rPr>
                <w:color w:val="494949"/>
              </w:rPr>
              <w:t> </w:t>
            </w:r>
          </w:p>
        </w:tc>
        <w:tc>
          <w:tcPr>
            <w:tcW w:w="28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1,805</w:t>
            </w:r>
            <w:r>
              <w:rPr>
                <w:color w:val="494949"/>
              </w:rPr>
              <w:t> </w:t>
            </w:r>
          </w:p>
        </w:tc>
        <w:tc>
          <w:tcPr>
            <w:tcW w:w="25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4,303</w:t>
            </w:r>
            <w:r>
              <w:rPr>
                <w:color w:val="494949"/>
              </w:rPr>
              <w:t>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101,563</w:t>
            </w:r>
            <w:r>
              <w:rPr>
                <w:color w:val="494949"/>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97,304</w:t>
            </w:r>
            <w:r>
              <w:rPr>
                <w:color w:val="494949"/>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56,580</w:t>
            </w:r>
            <w:r>
              <w:rPr>
                <w:color w:val="494949"/>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47,111</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 is attributable to:</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Owners of the Group</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101,462 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97,184 </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56,520 </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47,010 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101,563</w:t>
            </w:r>
            <w:r>
              <w:rPr>
                <w:color w:val="494949"/>
              </w:rPr>
              <w:t> </w:t>
            </w:r>
          </w:p>
        </w:tc>
        <w:tc>
          <w:tcPr>
            <w:tcW w:w="283"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97,304</w:t>
            </w:r>
            <w:r>
              <w:rPr>
                <w:color w:val="494949"/>
              </w:rPr>
              <w:t> </w:t>
            </w:r>
          </w:p>
        </w:tc>
        <w:tc>
          <w:tcPr>
            <w:tcW w:w="283"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56,580</w:t>
            </w:r>
            <w:r>
              <w:rPr>
                <w:color w:val="494949"/>
              </w:rPr>
              <w:t> </w:t>
            </w:r>
          </w:p>
        </w:tc>
        <w:tc>
          <w:tcPr>
            <w:tcW w:w="259"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47,111</w:t>
            </w:r>
            <w:r>
              <w:rPr>
                <w:color w:val="494949"/>
              </w:rPr>
              <w:t> </w:t>
            </w:r>
          </w:p>
        </w:tc>
        <w:tc>
          <w:tcPr>
            <w:tcW w:w="386"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66750"/>
                <wp:effectExtent l="0" t="0" r="0" b="0"/>
                <wp:wrapNone/>
                <wp:docPr id="14" name="Frame13"/>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w:t>
                            </w:r>
                          </w:p>
                        </w:tc>
                      </w:tr>
                    </w:tbl>
                    <w:p>
                      <w:pPr>
                        <w:pStyle w:val="TextBody"/>
                        <w:bidi w:val="0"/>
                        <w:spacing w:before="0" w:after="283"/>
                        <w:jc w:val="left"/>
                        <w:rPr/>
                      </w:pPr>
                      <w:r>
                        <w:rPr/>
                      </w:r>
                    </w:p>
                  </w:txbxContent>
                </v:textbox>
                <w10:wrap type="none"/>
              </v:rect>
            </w:pict>
          </mc:Fallback>
        </mc:AlternateContent>
      </w:r>
    </w:p>
    <w:tbl>
      <w:tblPr>
        <w:tblW w:w="6939" w:type="dxa"/>
        <w:jc w:val="left"/>
        <w:tblInd w:w="0" w:type="dxa"/>
        <w:tblLayout w:type="fixed"/>
        <w:tblCellMar>
          <w:top w:w="28" w:type="dxa"/>
          <w:left w:w="28" w:type="dxa"/>
          <w:bottom w:w="28" w:type="dxa"/>
          <w:right w:w="28" w:type="dxa"/>
        </w:tblCellMar>
      </w:tblPr>
      <w:tblGrid>
        <w:gridCol w:w="2259"/>
        <w:gridCol w:w="1985"/>
        <w:gridCol w:w="1996"/>
        <w:gridCol w:w="109"/>
        <w:gridCol w:w="109"/>
        <w:gridCol w:w="109"/>
        <w:gridCol w:w="109"/>
        <w:gridCol w:w="109"/>
        <w:gridCol w:w="154"/>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Consolidated Condensed Interim Statements of Financial Position</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June 30, 2026 and December 31, 2025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Financial Position</w:t>
      </w:r>
    </w:p>
    <w:tbl>
      <w:tblPr>
        <w:tblW w:w="7896" w:type="dxa"/>
        <w:jc w:val="left"/>
        <w:tblInd w:w="0" w:type="dxa"/>
        <w:tblLayout w:type="fixed"/>
        <w:tblCellMar>
          <w:top w:w="28" w:type="dxa"/>
          <w:left w:w="28" w:type="dxa"/>
          <w:bottom w:w="28" w:type="dxa"/>
          <w:right w:w="28" w:type="dxa"/>
        </w:tblCellMar>
      </w:tblPr>
      <w:tblGrid>
        <w:gridCol w:w="1392"/>
        <w:gridCol w:w="1222"/>
        <w:gridCol w:w="1225"/>
        <w:gridCol w:w="180"/>
        <w:gridCol w:w="180"/>
        <w:gridCol w:w="181"/>
        <w:gridCol w:w="109"/>
        <w:gridCol w:w="109"/>
        <w:gridCol w:w="109"/>
        <w:gridCol w:w="461"/>
        <w:gridCol w:w="425"/>
        <w:gridCol w:w="386"/>
        <w:gridCol w:w="109"/>
        <w:gridCol w:w="109"/>
        <w:gridCol w:w="109"/>
        <w:gridCol w:w="465"/>
        <w:gridCol w:w="465"/>
        <w:gridCol w:w="660"/>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54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794,943 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719,897 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79,214 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99,089 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1,149,456 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572,024 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25,055 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29,607 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2,048,837</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1,420,757</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24,737 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25,982 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4,173 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7,666 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3,985 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2,752 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94,850 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73,965 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6,550 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142,708</w:t>
            </w:r>
            <w:r>
              <w:rPr>
                <w:color w:val="494949"/>
              </w:rPr>
              <w:t>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120,207</w:t>
            </w:r>
            <w:r>
              <w:rPr>
                <w:color w:val="494949"/>
              </w:rPr>
              <w:t> </w:t>
            </w:r>
          </w:p>
        </w:tc>
        <w:tc>
          <w:tcPr>
            <w:tcW w:w="66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2,191,545</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1,540,964</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payables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1,554,943 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854,436 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19,351 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21,500 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86,898 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1,642,726</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965,910</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8,302</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5,625</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1,651,028</w:t>
            </w:r>
            <w:r>
              <w:rPr>
                <w:color w:val="494949"/>
              </w:rPr>
              <w:t>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971,535</w:t>
            </w:r>
            <w:r>
              <w:rPr>
                <w:color w:val="494949"/>
              </w:rPr>
              <w:t> </w:t>
            </w:r>
          </w:p>
        </w:tc>
        <w:tc>
          <w:tcPr>
            <w:tcW w:w="66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capital</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premium</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reserve</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55,453 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42,641 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reserves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(15,885)</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495,254 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534,818 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 attributable to owners of the Group</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540,248</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569,261</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660"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540,517</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569,429</w:t>
            </w:r>
            <w:r>
              <w:rPr>
                <w:color w:val="494949"/>
              </w:rPr>
              <w:t> </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 AND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2,191,545</w:t>
            </w:r>
            <w:r>
              <w:rPr>
                <w:color w:val="494949"/>
              </w:rPr>
              <w:t> </w:t>
            </w:r>
          </w:p>
        </w:tc>
        <w:tc>
          <w:tcPr>
            <w:tcW w:w="386"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1,540,964</w:t>
            </w:r>
            <w:r>
              <w:rPr>
                <w:color w:val="494949"/>
              </w:rPr>
              <w:t> </w:t>
            </w:r>
          </w:p>
        </w:tc>
        <w:tc>
          <w:tcPr>
            <w:tcW w:w="660" w:type="dxa"/>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66750"/>
                <wp:effectExtent l="0" t="0" r="0" b="0"/>
                <wp:wrapNone/>
                <wp:docPr id="15" name="Frame14"/>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w:t>
                            </w:r>
                          </w:p>
                        </w:tc>
                      </w:tr>
                    </w:tbl>
                    <w:p>
                      <w:pPr>
                        <w:pStyle w:val="TextBody"/>
                        <w:bidi w:val="0"/>
                        <w:spacing w:before="0" w:after="283"/>
                        <w:jc w:val="left"/>
                        <w:rPr/>
                      </w:pPr>
                      <w:r>
                        <w:rPr/>
                      </w:r>
                    </w:p>
                  </w:txbxContent>
                </v:textbox>
                <w10:wrap type="none"/>
              </v:rect>
            </w:pict>
          </mc:Fallback>
        </mc:AlternateContent>
      </w:r>
    </w:p>
    <w:tbl>
      <w:tblPr>
        <w:tblW w:w="6939" w:type="dxa"/>
        <w:jc w:val="left"/>
        <w:tblInd w:w="0" w:type="dxa"/>
        <w:tblLayout w:type="fixed"/>
        <w:tblCellMar>
          <w:top w:w="28" w:type="dxa"/>
          <w:left w:w="28" w:type="dxa"/>
          <w:bottom w:w="28" w:type="dxa"/>
          <w:right w:w="28" w:type="dxa"/>
        </w:tblCellMar>
      </w:tblPr>
      <w:tblGrid>
        <w:gridCol w:w="2259"/>
        <w:gridCol w:w="1985"/>
        <w:gridCol w:w="1996"/>
        <w:gridCol w:w="109"/>
        <w:gridCol w:w="109"/>
        <w:gridCol w:w="109"/>
        <w:gridCol w:w="109"/>
        <w:gridCol w:w="109"/>
        <w:gridCol w:w="154"/>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Consolidated Condensed Interim Statements of Changes in Equity</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six-month period ended June 30, 2026 and 2025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Changes in Equity</w:t>
      </w:r>
    </w:p>
    <w:tbl>
      <w:tblPr>
        <w:tblW w:w="13732" w:type="dxa"/>
        <w:jc w:val="left"/>
        <w:tblInd w:w="0" w:type="dxa"/>
        <w:tblLayout w:type="fixed"/>
        <w:tblCellMar>
          <w:top w:w="28" w:type="dxa"/>
          <w:left w:w="28" w:type="dxa"/>
          <w:bottom w:w="28" w:type="dxa"/>
          <w:right w:w="28" w:type="dxa"/>
        </w:tblCellMar>
      </w:tblPr>
      <w:tblGrid>
        <w:gridCol w:w="832"/>
        <w:gridCol w:w="244"/>
        <w:gridCol w:w="245"/>
        <w:gridCol w:w="109"/>
        <w:gridCol w:w="180"/>
        <w:gridCol w:w="180"/>
        <w:gridCol w:w="181"/>
        <w:gridCol w:w="109"/>
        <w:gridCol w:w="109"/>
        <w:gridCol w:w="109"/>
        <w:gridCol w:w="225"/>
        <w:gridCol w:w="225"/>
        <w:gridCol w:w="226"/>
        <w:gridCol w:w="109"/>
        <w:gridCol w:w="109"/>
        <w:gridCol w:w="109"/>
        <w:gridCol w:w="434"/>
        <w:gridCol w:w="317"/>
        <w:gridCol w:w="271"/>
        <w:gridCol w:w="109"/>
        <w:gridCol w:w="109"/>
        <w:gridCol w:w="109"/>
        <w:gridCol w:w="459"/>
        <w:gridCol w:w="292"/>
        <w:gridCol w:w="271"/>
        <w:gridCol w:w="109"/>
        <w:gridCol w:w="109"/>
        <w:gridCol w:w="109"/>
        <w:gridCol w:w="426"/>
        <w:gridCol w:w="235"/>
        <w:gridCol w:w="236"/>
        <w:gridCol w:w="109"/>
        <w:gridCol w:w="109"/>
        <w:gridCol w:w="109"/>
        <w:gridCol w:w="401"/>
        <w:gridCol w:w="260"/>
        <w:gridCol w:w="261"/>
        <w:gridCol w:w="109"/>
        <w:gridCol w:w="109"/>
        <w:gridCol w:w="109"/>
        <w:gridCol w:w="481"/>
        <w:gridCol w:w="270"/>
        <w:gridCol w:w="271"/>
        <w:gridCol w:w="109"/>
        <w:gridCol w:w="109"/>
        <w:gridCol w:w="109"/>
        <w:gridCol w:w="375"/>
        <w:gridCol w:w="376"/>
        <w:gridCol w:w="171"/>
        <w:gridCol w:w="109"/>
        <w:gridCol w:w="109"/>
        <w:gridCol w:w="109"/>
        <w:gridCol w:w="440"/>
        <w:gridCol w:w="440"/>
        <w:gridCol w:w="441"/>
        <w:gridCol w:w="109"/>
        <w:gridCol w:w="109"/>
        <w:gridCol w:w="109"/>
        <w:gridCol w:w="375"/>
        <w:gridCol w:w="376"/>
        <w:gridCol w:w="263"/>
      </w:tblGrid>
      <w:tr>
        <w:trPr/>
        <w:tc>
          <w:tcPr>
            <w:tcW w:w="8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Capital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January 1st, 2026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590</w:t>
            </w:r>
            <w:r>
              <w:rPr>
                <w:color w:val="494949"/>
              </w:rPr>
              <w:t> </w:t>
            </w:r>
          </w:p>
        </w:tc>
        <w:tc>
          <w:tcPr>
            <w:tcW w:w="22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7,097</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42,641</w:t>
            </w:r>
            <w:r>
              <w:rPr>
                <w:color w:val="494949"/>
              </w:rPr>
              <w:t> </w:t>
            </w:r>
          </w:p>
        </w:tc>
        <w:tc>
          <w:tcPr>
            <w:tcW w:w="23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(15,885)</w:t>
            </w:r>
          </w:p>
        </w:tc>
        <w:tc>
          <w:tcPr>
            <w:tcW w:w="26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534,818</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569,261</w:t>
            </w:r>
            <w:r>
              <w:rPr>
                <w:color w:val="494949"/>
              </w:rPr>
              <w:t> </w:t>
            </w:r>
          </w:p>
        </w:tc>
        <w:tc>
          <w:tcPr>
            <w:tcW w:w="1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168</w:t>
            </w:r>
            <w:r>
              <w:rPr>
                <w:color w:val="494949"/>
              </w:rPr>
              <w:t> </w:t>
            </w:r>
          </w:p>
        </w:tc>
        <w:tc>
          <w:tcPr>
            <w:tcW w:w="44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569,429</w:t>
            </w:r>
            <w:r>
              <w:rPr>
                <w:color w:val="494949"/>
              </w:rPr>
              <w:t> </w:t>
            </w:r>
          </w:p>
        </w:tc>
        <w:tc>
          <w:tcPr>
            <w:tcW w:w="26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96,612 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96,612 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96,711 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 on translation on 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2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3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4,850</w:t>
            </w:r>
            <w:r>
              <w:rPr>
                <w:color w:val="494949"/>
              </w:rPr>
              <w:t> </w:t>
            </w:r>
          </w:p>
        </w:tc>
        <w:tc>
          <w:tcPr>
            <w:tcW w:w="26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96,612</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101,462</w:t>
            </w:r>
            <w:r>
              <w:rPr>
                <w:color w:val="494949"/>
              </w:rPr>
              <w:t> </w:t>
            </w:r>
          </w:p>
        </w:tc>
        <w:tc>
          <w:tcPr>
            <w:tcW w:w="1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101</w:t>
            </w:r>
            <w:r>
              <w:rPr>
                <w:color w:val="494949"/>
              </w:rPr>
              <w:t> </w:t>
            </w:r>
          </w:p>
        </w:tc>
        <w:tc>
          <w:tcPr>
            <w:tcW w:w="44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101,563</w:t>
            </w:r>
            <w:r>
              <w:rPr>
                <w:color w:val="494949"/>
              </w:rPr>
              <w:t> </w:t>
            </w:r>
          </w:p>
        </w:tc>
        <w:tc>
          <w:tcPr>
            <w:tcW w:w="26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Transactions with Group owners in their capacity as owners: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Share-options exercise</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payments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(86,062)</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(86,076)</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(86,076)</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Treasury shares cancellation </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(57,211)</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(57,211)</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(57,211)</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Transactions with Group owners in their capacity as owners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(7,097)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12,812</w:t>
            </w:r>
            <w:r>
              <w:rPr>
                <w:color w:val="494949"/>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(136,176)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(130,475)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(130,475)</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576</w:t>
            </w:r>
            <w:r>
              <w:rPr>
                <w:color w:val="494949"/>
              </w:rPr>
              <w:t> </w:t>
            </w:r>
          </w:p>
        </w:tc>
        <w:tc>
          <w:tcPr>
            <w:tcW w:w="22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55,453</w:t>
            </w:r>
            <w:r>
              <w:rPr>
                <w:color w:val="494949"/>
              </w:rPr>
              <w:t> </w:t>
            </w:r>
          </w:p>
        </w:tc>
        <w:tc>
          <w:tcPr>
            <w:tcW w:w="23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(11,035)</w:t>
            </w:r>
          </w:p>
        </w:tc>
        <w:tc>
          <w:tcPr>
            <w:tcW w:w="26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495,254</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540,248</w:t>
            </w:r>
            <w:r>
              <w:rPr>
                <w:color w:val="494949"/>
              </w:rPr>
              <w:t> </w:t>
            </w:r>
          </w:p>
        </w:tc>
        <w:tc>
          <w:tcPr>
            <w:tcW w:w="1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269</w:t>
            </w:r>
            <w:r>
              <w:rPr>
                <w:color w:val="494949"/>
              </w:rPr>
              <w:t> </w:t>
            </w:r>
          </w:p>
        </w:tc>
        <w:tc>
          <w:tcPr>
            <w:tcW w:w="44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540,517</w:t>
            </w:r>
            <w:r>
              <w:rPr>
                <w:color w:val="494949"/>
              </w:rPr>
              <w:t> </w:t>
            </w:r>
          </w:p>
        </w:tc>
        <w:tc>
          <w:tcPr>
            <w:tcW w:w="26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January 1st, 2025</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570</w:t>
            </w:r>
            <w:r>
              <w:rPr>
                <w:color w:val="494949"/>
              </w:rPr>
              <w:t> </w:t>
            </w:r>
          </w:p>
        </w:tc>
        <w:tc>
          <w:tcPr>
            <w:tcW w:w="22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186,769</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(200,980)</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33,438</w:t>
            </w:r>
            <w:r>
              <w:rPr>
                <w:color w:val="494949"/>
              </w:rPr>
              <w:t> </w:t>
            </w:r>
          </w:p>
        </w:tc>
        <w:tc>
          <w:tcPr>
            <w:tcW w:w="23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(20,934)</w:t>
            </w:r>
          </w:p>
        </w:tc>
        <w:tc>
          <w:tcPr>
            <w:tcW w:w="26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490,024</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488,887</w:t>
            </w:r>
            <w:r>
              <w:rPr>
                <w:color w:val="494949"/>
              </w:rPr>
              <w:t> </w:t>
            </w:r>
          </w:p>
        </w:tc>
        <w:tc>
          <w:tcPr>
            <w:tcW w:w="1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100</w:t>
            </w:r>
            <w:r>
              <w:rPr>
                <w:color w:val="494949"/>
              </w:rPr>
              <w:t> </w:t>
            </w:r>
          </w:p>
        </w:tc>
        <w:tc>
          <w:tcPr>
            <w:tcW w:w="44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488,987</w:t>
            </w:r>
            <w:r>
              <w:rPr>
                <w:color w:val="494949"/>
              </w:rPr>
              <w:t> </w:t>
            </w:r>
          </w:p>
        </w:tc>
        <w:tc>
          <w:tcPr>
            <w:tcW w:w="26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89,440 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89,440 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89,475 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 on translation on foreign operations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2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23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7,744</w:t>
            </w:r>
            <w:r>
              <w:rPr>
                <w:color w:val="494949"/>
              </w:rPr>
              <w:t> </w:t>
            </w:r>
          </w:p>
        </w:tc>
        <w:tc>
          <w:tcPr>
            <w:tcW w:w="26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89,440</w:t>
            </w:r>
            <w:r>
              <w:rPr>
                <w:color w:val="494949"/>
              </w:rPr>
              <w:t> </w:t>
            </w:r>
          </w:p>
        </w:tc>
        <w:tc>
          <w:tcPr>
            <w:tcW w:w="2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97,184</w:t>
            </w:r>
            <w:r>
              <w:rPr>
                <w:color w:val="494949"/>
              </w:rPr>
              <w:t> </w:t>
            </w:r>
          </w:p>
        </w:tc>
        <w:tc>
          <w:tcPr>
            <w:tcW w:w="17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120</w:t>
            </w:r>
            <w:r>
              <w:rPr>
                <w:color w:val="494949"/>
              </w:rPr>
              <w:t> </w:t>
            </w:r>
          </w:p>
        </w:tc>
        <w:tc>
          <w:tcPr>
            <w:tcW w:w="441"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97,304</w:t>
            </w:r>
            <w:r>
              <w:rPr>
                <w:color w:val="494949"/>
              </w:rPr>
              <w:t> </w:t>
            </w:r>
          </w:p>
        </w:tc>
        <w:tc>
          <w:tcPr>
            <w:tcW w:w="263"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Transactions with Group owners in their capacity as owners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Share-options exercise</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(3,010)</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payments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(149,982)</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(149,982)</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(149,982)</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 Exercise</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Transactions with Group owners in their capacity as owners</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6,051 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5,803 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(149,982)</w:t>
            </w:r>
          </w:p>
        </w:tc>
        <w:tc>
          <w:tcPr>
            <w:tcW w:w="2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(138,111)</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(138,111)</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587</w:t>
            </w:r>
            <w:r>
              <w:rPr>
                <w:color w:val="494949"/>
              </w:rPr>
              <w:t> </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192,820</w:t>
            </w:r>
            <w:r>
              <w:rPr>
                <w:color w:val="494949"/>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(200,980)</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39,241</w:t>
            </w:r>
            <w:r>
              <w:rPr>
                <w:color w:val="494949"/>
              </w:rPr>
              <w:t>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(13,190)</w:t>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429,482</w:t>
            </w:r>
            <w:r>
              <w:rPr>
                <w:color w:val="494949"/>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447,960</w:t>
            </w:r>
            <w:r>
              <w:rPr>
                <w:color w:val="494949"/>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220</w:t>
            </w:r>
            <w:r>
              <w:rPr>
                <w:color w:val="494949"/>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448,180</w:t>
            </w:r>
            <w:r>
              <w:rPr>
                <w:color w:val="494949"/>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66750"/>
                <wp:effectExtent l="0" t="0" r="0" b="0"/>
                <wp:wrapNone/>
                <wp:docPr id="16" name="Frame15"/>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3</w:t>
                            </w:r>
                          </w:p>
                        </w:tc>
                      </w:tr>
                    </w:tbl>
                    <w:p>
                      <w:pPr>
                        <w:pStyle w:val="TextBody"/>
                        <w:bidi w:val="0"/>
                        <w:spacing w:before="0" w:after="283"/>
                        <w:jc w:val="left"/>
                        <w:rPr/>
                      </w:pPr>
                      <w:r>
                        <w:rPr/>
                      </w:r>
                    </w:p>
                  </w:txbxContent>
                </v:textbox>
                <w10:wrap type="none"/>
              </v:rect>
            </w:pict>
          </mc:Fallback>
        </mc:AlternateContent>
      </w:r>
    </w:p>
    <w:tbl>
      <w:tblPr>
        <w:tblW w:w="6939" w:type="dxa"/>
        <w:jc w:val="left"/>
        <w:tblInd w:w="0" w:type="dxa"/>
        <w:tblLayout w:type="fixed"/>
        <w:tblCellMar>
          <w:top w:w="28" w:type="dxa"/>
          <w:left w:w="28" w:type="dxa"/>
          <w:bottom w:w="28" w:type="dxa"/>
          <w:right w:w="28" w:type="dxa"/>
        </w:tblCellMar>
      </w:tblPr>
      <w:tblGrid>
        <w:gridCol w:w="2259"/>
        <w:gridCol w:w="1985"/>
        <w:gridCol w:w="1996"/>
        <w:gridCol w:w="109"/>
        <w:gridCol w:w="109"/>
        <w:gridCol w:w="109"/>
        <w:gridCol w:w="109"/>
        <w:gridCol w:w="109"/>
        <w:gridCol w:w="154"/>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Consolidated Condensed Interim Statements of Cash Flows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six-month period ended June 30, 2026 and 2025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Cash Flows</w:t>
      </w:r>
    </w:p>
    <w:tbl>
      <w:tblPr>
        <w:tblW w:w="10054" w:type="dxa"/>
        <w:jc w:val="left"/>
        <w:tblInd w:w="0" w:type="dxa"/>
        <w:tblLayout w:type="fixed"/>
        <w:tblCellMar>
          <w:top w:w="28" w:type="dxa"/>
          <w:left w:w="28" w:type="dxa"/>
          <w:bottom w:w="28" w:type="dxa"/>
          <w:right w:w="28" w:type="dxa"/>
        </w:tblCellMar>
      </w:tblPr>
      <w:tblGrid>
        <w:gridCol w:w="2184"/>
        <w:gridCol w:w="1915"/>
        <w:gridCol w:w="1930"/>
        <w:gridCol w:w="180"/>
        <w:gridCol w:w="180"/>
        <w:gridCol w:w="181"/>
        <w:gridCol w:w="109"/>
        <w:gridCol w:w="109"/>
        <w:gridCol w:w="109"/>
        <w:gridCol w:w="405"/>
        <w:gridCol w:w="405"/>
        <w:gridCol w:w="386"/>
        <w:gridCol w:w="109"/>
        <w:gridCol w:w="109"/>
        <w:gridCol w:w="109"/>
        <w:gridCol w:w="109"/>
        <w:gridCol w:w="109"/>
        <w:gridCol w:w="109"/>
        <w:gridCol w:w="404"/>
        <w:gridCol w:w="406"/>
        <w:gridCol w:w="497"/>
      </w:tblGrid>
      <w:tr>
        <w:trPr/>
        <w:tc>
          <w:tcPr>
            <w:tcW w:w="2184"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before income tax</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121,533 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102,925 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financial instruments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(15,657)</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(11,083)</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charges for lease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interests charges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6,760 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expense related to derivative financial instruments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3,591 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14,390 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9,639 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disposals of property, plant and equipment and right-of-use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 expense, net of forfeitures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12,555 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exchange differences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(2,147)</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13,908 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 on financial assets at FVPL</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(12,134)</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loss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2,902 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Impairment loss/(gain) on financial assets</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adjustment and other financial results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9,265 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151,871</w:t>
            </w:r>
            <w:r>
              <w:rPr>
                <w:color w:val="494949"/>
              </w:rPr>
              <w:t>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135,467</w:t>
            </w:r>
            <w:r>
              <w:rPr>
                <w:color w:val="494949"/>
              </w:rPr>
              <w:t> </w:t>
            </w:r>
          </w:p>
        </w:tc>
        <w:tc>
          <w:tcPr>
            <w:tcW w:w="497"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working capital</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trade and other receivables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(580,738)</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8,036 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other assets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(18,544)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trade and other payables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700,507 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93,294 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 Increase in tax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(1,963)</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provisions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generated from operating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255,738</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237,078</w:t>
            </w:r>
            <w:r>
              <w:rPr>
                <w:color w:val="494949"/>
              </w:rPr>
              <w:t>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paid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(22,434)</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(17,206)</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generated from operating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233,304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219,872</w:t>
            </w:r>
            <w:r>
              <w:rPr>
                <w:color w:val="494949"/>
              </w:rPr>
              <w:t>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(1,460)</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of intangible assets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(18,886)</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(14,486)</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financial assets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(92,040)</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(133,464)</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Collections of financial assets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111,123 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133,970 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collected from financial instruments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15,657 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11,083 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acquired in a business combination</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investments in other assets at FVPL</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(12,500)</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generated from / (used in) investing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(16,857)</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(57,211)</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(149,982)</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(86,062)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Share-options exercise received</w:t>
            </w:r>
          </w:p>
        </w:tc>
        <w:tc>
          <w:tcPr>
            <w:tcW w:w="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financial liabilities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(22,266)</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12,014 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 on financial liabilities</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(6,001)</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 on lease liability</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lease liability</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(1,141)</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expense paid related to derivative financial instruments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(5,080)</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expense paid</w:t>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(6,864)</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(2,113)</w:t>
            </w:r>
          </w:p>
        </w:tc>
        <w:tc>
          <w:tcPr>
            <w:tcW w:w="49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(175,922)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(151,445)</w:t>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increase in cash flow</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73,264</w:t>
            </w:r>
            <w:r>
              <w:rPr>
                <w:color w:val="494949"/>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51,570</w:t>
            </w:r>
            <w:r>
              <w:rPr>
                <w:color w:val="494949"/>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the beginning of the period</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719,897</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425,172</w:t>
            </w:r>
            <w:r>
              <w:rPr>
                <w:color w:val="494949"/>
              </w:rPr>
              <w:t>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and inflation on cash and cash equivalents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the end of the period</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794,943</w:t>
            </w:r>
            <w:r>
              <w:rPr>
                <w:color w:val="494949"/>
              </w:rPr>
              <w:t>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476,939</w:t>
            </w:r>
            <w:r>
              <w:rPr>
                <w:color w:val="494949"/>
              </w:rPr>
              <w:t>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Non-cash transactions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and Goodwill acquired through a decrease in other assets at FVPL</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23,742 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66750"/>
                <wp:effectExtent l="0" t="0" r="0" b="0"/>
                <wp:wrapNone/>
                <wp:docPr id="17" name="Frame16"/>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4</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FFFFFF"/>
          <w:sz w:val="2"/>
        </w:rPr>
      </w:pPr>
      <w:r>
        <w:rPr>
          <w:rFonts w:ascii="Times New Roman;serif" w:hAnsi="Times New Roman;serif"/>
          <w:b w:val="false"/>
          <w:color w:val="FFFFFF"/>
          <w:sz w:val="2"/>
        </w:rPr>
        <w:t>Notes to Unaudited Consolidated Condensed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 General information and significant events of the period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1.1. General information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DLocal Limited (“dLocal” or the “Company”) was established on October 5, 2016 as a limited liability holding company in Malta (together with its subsidiaries as the “Group”). On April 14, 2021 the Group was reorganized under dLocal and domiciled and incorporated in the Cayman Islands. The Company holds a controlling financial interest in the Group.</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processes payment transactions, enabling merchants generally located in developed economies (mainly United States, Europe and China) to receive payments (“pay-ins”) from customers in emerging markets and to facilitate payments (“pay-outs”) to customers in emerging markets. As of the date these Consolidated Condensed Interim Financial Statements were issued, the Group continued to focus on its geographic expansion, increasing the total number of in-network countries.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processes local payments in emerging markets through its network of acquirers and payments processors. Through its partnership with financial institutions, the Group expatriates/repatriates funds to/from developed economies where the merchant customers elect settlement in their preferred currency (mainly U.S. Dollar and Euro). These Unaudited Consolidated Condensed Interim Financial Statements include dLocal’s subsidiaries.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is licensed and regulated in the EU as an Electronic Money Issuer, or EMI, and Payment Institution, or PI, and registered as a Money Service Business with the Financial Crimes Enforcement Network of the U.S. Department of the Treasury, or FinCEN, and operates and may be licensed, where applicable, in many countries in emerging markets, primarily in the Americas, Asia and Africa. In December 2024, the Group achieved a significant advancement by obtaining a license in the United Kingdom as an Authorized Payment Institution (API), further enhancing its global regulatory framework.</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 addition, the Group is subject to laws aimed at preventing money laundering, corruption, and the financing of terrorism. This regulatory landscape is constantly evolving, as evidenced by the implementation of the Fifth Anti-Money Laundering Directive (Directive (EU) 2018/843, “MLD5”) and the proposed amendments to the Fourth Anti-Money Laundering Directive (MLD4).</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1.2. Significant events during the period </w:t>
      </w:r>
    </w:p>
    <w:p>
      <w:pPr>
        <w:pStyle w:val="TextBody"/>
        <w:bidi w:val="0"/>
        <w:spacing w:lineRule="auto" w:line="288" w:before="0" w:after="60"/>
        <w:ind w:left="0" w:right="0" w:hanging="360"/>
        <w:jc w:val="both"/>
        <w:rPr/>
      </w:pPr>
      <w:r>
        <w:rPr>
          <w:rFonts w:ascii="Times New Roman;serif" w:hAnsi="Times New Roman;serif"/>
          <w:b/>
          <w:color w:val="242424"/>
          <w:sz w:val="20"/>
        </w:rPr>
        <w:t>a)Class action lawsuits</w:t>
      </w:r>
      <w:r>
        <w:rPr>
          <w:color w:val="FF0090"/>
        </w:rPr>
        <w:t>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February 23 and February 28, 2023, respectively, the Company was named, along with several of its senior executives and/or directors, as defendants in certain putative class action lawsuits filed in the Supreme Court of the State of New York, New York County, asserting claims under Sections 11, 12, and 15 of the Securities Act of 1933, based in significant part on a short-seller report. These matters, Zappia et al. v. DLocal Limited et al., Index No. 151778/2023 (Sup. Ct. N.Y. Cty.), and Hunt et al. v. DLocal Limited et al., Index No. 651058/2023 (Sup. Ct. N.Y. Cty.), or the Zappia and Hunt Actions, allege, among other things, that the registration statement for the Company’s June 2021 initial public offering reflected certain material misstatements or omissions.</w:t>
      </w:r>
    </w:p>
    <w:p>
      <w:pPr>
        <w:pStyle w:val="TextBody"/>
        <w:bidi w:val="0"/>
        <w:spacing w:lineRule="auto" w:line="288" w:before="200" w:after="200"/>
        <w:jc w:val="both"/>
        <w:rPr/>
      </w:pPr>
      <w:r>
        <w:rPr>
          <w:rFonts w:ascii="Times New Roman;serif" w:hAnsi="Times New Roman;serif"/>
          <w:b w:val="false"/>
          <w:color w:val="000000"/>
          <w:sz w:val="20"/>
        </w:rPr>
        <w:t>On March 3, 2023, plaintiffs in the two actions filed a stipulation and proposed order consolidating the cases and appointing putative lead counsel. The parties also agreed to a schedule for plaintiffs’ filing of an amended complaint and a subsequent briefing schedule for a motion to dismiss the amended complaint.</w:t>
      </w:r>
      <w:r>
        <w:rPr>
          <w:color w:val="FF0090"/>
        </w:rPr>
        <w:t>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May 12, 2023, plaintiffs in the Zappia and Hunt Actions jointly filed a consolidated amended complaint. On July 11, 2023, the Company filed a motion to dismiss the complaint. Plaintiffs filed their opposition brief on August 15, 2023, and the Company filed a reply in further support of its motion to dismiss on September 22, 2023. On February 29, 2024, the court presided over oral argument on the motion. On March 20, 2025, the court issued a decision and order granting the motion and dismissing the complaint as to all moving defendants, including dLocal. On April 18, 2025, the plaintiffs filed a notice of appeal of the decision and order granting the motion to dismiss. The plaintiffs had until October 18, 2025 to “perfect” their appeal by filing their opening appellate brief and the record on appeal. In an order dated June 9, 2025, the court dismissed the complaint in its entirety against the Individual Defendants for failure to effectuate service. On October 20, 2025, the plaintiffs filed their opening appellate brief as against the Company in the Supreme Court of the State of New York, Appellate Division, First Judicial Department. The Company’s response brief was filed on January 9, 2026, and Plaintiffs submitted a reply brief on February 13, 2026. The First Department heard oral argument on Plaintiffs’ appeal on March 25, 2026 and, on April 16, 2026, issued a unanimous Decision and Order affirming the lower court’s dismissal Order in full. The deadline for Plaintiffs to file any motion for leave to reargue and/or for permission to appeal to the New York Court of Appeals passed on May 18, 2026 with no filings.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66750"/>
                <wp:effectExtent l="0" t="0" r="0" b="0"/>
                <wp:wrapNone/>
                <wp:docPr id="18" name="Frame17"/>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5</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has also been named, along with several of its senior executives and/or directors, in a putative class action lawsuit filed in the U.S. District Court for the Eastern District of New York, asserting claims under Sections 11 and 15 of the Securities Act and Sections 10(b) and 20(a) of the Securities Exchange Act of 1934, as well as Rule 10b-5 promulgated thereunder. This lawsuit, captioned Laurenzi v. dLocal Ltd., et al., 1:23-cv-07501 (E.D.N.Y.) (Laurenzi Action), was initiated on October 6, 2023. On January 4, 2024, the Court appointed a Lead Plaintiff. On March 18, 2024, Lead Plaintiff filed an amended class action complaint. The amended complaint alleges misstatements and omissions in the registration statement for the Company’s June 2021 initial public offering and in various public filings and press releases during the period of June 2, 2021, through June 5, 2023. Pursuant to a schedule agreed upon with Lead Plaintiff’s counsel, the Company filed on April 30, 2024, a letter, as required by court rules, requesting a pre-motion conference regarding an anticipated motion to dismiss the Laurenzi Action in full. Lead Plaintiff responded to that letter on May 14, 2024. On June 10, 2024, the court held the requested preliminary conference and set a schedule for briefing on the Company’s motion to dismiss. The Company served its opening brief on August 9, 2024, Lead Plaintiff served an opposition on October 11, 2024, and the Company served its reply on November 8, 2024. The court has not yet indicated whether it will hear oral argument on the Company’s motion, and no other proceedings are currently ongoing or scheduled. On July 9, 2025, the court issued an order holding the motion “in abeyance” until six months after the issuance of letters rogatory addressed to certain individual defendants. On August 20, 2025, the court formally issued letters rogatory addressed to such individual defendants. On February 10, 2026, the court granted at Lead Plaintiff’s request an extension of time until April 15, 2026 to effectuate international service of process on such individual defendants. Those individual defendants received international service of process in approximately early March 2026 and, on March 31, 2026, filed a notice of joinder in dLocal’s motion to dismiss.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preliminary posture of the above-described lawsuit as of the date of issuance of these Unaudited Consolidated Condensed Interim Financial Statements, the Company’s management and its legal advisors are unable to evaluate the likelihood of an adverse outcome or estimate a range of potential losses and no provision for contingencies has been recorded for the aforementioned matter. DLocal Limited intends to defend itself vigorously in this action. As of the date of issuance of the Company’s Unaudited Consolidated Condensed Interim Financial Statements there were no further updates in this regard. </w:t>
      </w:r>
    </w:p>
    <w:p>
      <w:pPr>
        <w:pStyle w:val="TextBody"/>
        <w:bidi w:val="0"/>
        <w:spacing w:lineRule="auto" w:line="288" w:before="0" w:after="60"/>
        <w:ind w:left="0" w:right="0" w:hanging="360"/>
        <w:jc w:val="both"/>
        <w:rPr>
          <w:rFonts w:ascii="Times New Roman;serif" w:hAnsi="Times New Roman;serif"/>
          <w:b/>
          <w:color w:val="242424"/>
          <w:sz w:val="20"/>
        </w:rPr>
      </w:pPr>
      <w:r>
        <w:rPr>
          <w:rFonts w:ascii="Times New Roman;serif" w:hAnsi="Times New Roman;serif"/>
          <w:b/>
          <w:color w:val="242424"/>
          <w:sz w:val="20"/>
        </w:rPr>
        <w:t>b)Dividends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13, 2026, the Company’s Board of Directors authorized and declared a cash dividend of an aggregate of US$57,211,274, equivalent to approximately US$0.1939 per share (subject to adjustment according to the number of shares outstanding as of the record date), to shareholders of record as of the close of the business day on May 27, 2026, paid on June 10,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 Presentation and preparation of the Unaudited Consolidated Condensed Interim Financial Statements and significant accounting policies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2.1. Basis of preparation of Unaudited Consolidated Condensed Interim Financial Statements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These Unaudited Consolidated Condensed Interim Financial Statements for the six months ended June 30, 2026, have been prepared in accordance with International Accounting Standard 34, “Interim Financial Reporting” as issued by the International Accounting Standard Board.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These Unaudited Consolidated Condensed Interim Financial Statements do not include all the notes of the type normally included in an annual consolidated financial statement. Accordingly, this report should be read in conjunction with the annual consolidated financial statements for the year ended December 31, 2025 (the “Annual Financial Statements”), except for the business combination and goodwill accounting policies adopted in this quarter as follows: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All amounts are presented in thousands of U.S. Dollars except share data or as otherwise indicated.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These Unaudited Consolidated Condensed Interim Financial Statements for the six months ended June 30, 2026 were authorized for issuance by dLocal’s Board of Directors on August 11, 2026.</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2.1.1 Business combination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Acquisitions of businesses are accounted for using acquisition method. The consideration transferred in a business combination is measured at fair value, which is calculated as the sum of the acquisition date fair value of the assets transferred to the Company, liabilities incurred by the Company to the former owners of the acquiree and the equity interest issued by the Company in exchange for control of the acquiree. Acquisition-related costs are recognized in profit or loss as incurred.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At the acquisition date, the identifiable assets acquired and the liabilities assumed are recognized at their fair value, except that: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66750"/>
                <wp:effectExtent l="0" t="0" r="0" b="0"/>
                <wp:wrapNone/>
                <wp:docPr id="19" name="Frame18"/>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6</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deferred tax assets or liabilities, and assets or liabilities related to employee benefit arrangements are recognized and measured in accordance with IAS 12 - Income taxes and IAS 19 - Employee Benefits; and</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Liabilities or equity instruments related to share-based payment arrangements of the acquiree or share-based payment arrangements of the Company entered into to replace shared-based payment arrangements of the acquiree are measured in accordance with IFRS 2 - Share-based Payment.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Goodwill is measured as the excess of the sum of the consideration transferred, the amount of any non-controlling interest in the acquired business, and the fair value of the acquirer’s previously held equity interest in the acquired business (if any) over the net of the acquisition date amounts of the identifiable assets acquired and liabilities assumed. If, after reassessment, the net of the acquisition date amounts of the identifiable assets acquired and liabilities assumed exceeds the sum of the consideration transferred, the amount of any non-controlling interests in the acquired business and the fair value of the acquirer’s previously held equity interest in the acquired business (if any), the excess is recognized immediately in profit or loss as a bargain purchase gain.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Non-controlling interests that are present ownership interest and entitle their holders to a proportionate share of the entity’s net assets in the event of liquidation may be initially measured either at fair value or at the non-controlling interests’ proportionate share of the recognized amounts of the acquired business identifiable net assets. The choice of measurement basis is made on a transaction-by-transaction basis.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When the consideration transferred by the Company in a business combination includes assets or liabilities resulting from a contingent consideration arrangement, the contingent consideration is measured as its acquisition-date fair value and included as part of the consideration transferred in a business combination. Changes in the fair value of the contingent consideration that qualify as measurement period adjustments are adjusted retrospectively, with corresponding adjustments against goodwill. Measurement period adjustments are adjustments that arise from additional information obtained during the ‘measurement period’ (which cannot exceed one year from the acquisition date) about facts and circumstances that existed at the acquisition date.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subsequent accounting for changes in the fair value of the contingent consideration that do not quality as measurement period adjustments depends on how the contingent consideration is classified.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3 and IFRS 13, as appropriate, with the corresponding gain or loss being recognized in profit or loss.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When a business combination is achieved in stages, the Company’s previously held equity interest in the acquiree is remeasured to its acquisition-date fair value and the resulting gain or loss, if any, is recognized in profit or loss. Amounts arising from interests in the acquiree prior to the acquisition date that have previously been recognized in other comprehensive income are reclassified to profit or loss where such treatment would be appropriate if that interest were disposed of.</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Arrangements that include remuneration of former owners of the acquiree for future services are excluded of the acquisitions and will be recognized as expense during the required service period.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2.1.2 Goodwill</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Goodwill arising in a business combination is carried at cost as established at the acquisition date of the business less accumulated impairment losses, if any. For the purpose of impairment testing, goodwill is allocated to a unique cash generating unit (“CGU”).</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Goodwill is not amortized and is reviewed for impairment at least annually or more frequently when there is an indication that the business may be impaired. If the recoverable amount of the business is less than its carrying amount, the impairment loss is allocated first to reduce the carrying amount of any goodwill allocated to the business and then to the other assets of the business pro-rata on the basis of the carrying amount of each asset in the business. Any impairment loss for goodwill is recognized directly in profit or loss in the consolidated statement of comprehensive income. An impairment loss recognized for goodwill is not reversed in a subsequent period.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has not recognized any impairment loss in the six-months period ended on June 30, 2026.</w:t>
      </w:r>
    </w:p>
    <w:p>
      <w:pPr>
        <w:pStyle w:val="TextBody"/>
        <w:bidi w:val="0"/>
        <w:spacing w:lineRule="auto" w:line="288" w:before="200" w:after="200"/>
        <w:jc w:val="both"/>
        <w:rPr/>
      </w:pPr>
      <w:r>
        <w:rPr>
          <w:rFonts w:ascii="Times New Roman;serif" w:hAnsi="Times New Roman;serif"/>
          <w:b w:val="false"/>
          <w:color w:val="000000"/>
          <w:sz w:val="20"/>
        </w:rPr>
        <w:t xml:space="preserve">The accounting policies and critical accounting estimates and judgments adopted, except for those explicitly indicated on these Unaudited Consolidated Condensed Interim Financial Statements, are consistent with those of the previous financial year and corresponding interim reporting period, except in relation to the fair value measurements arising from the business combination completed during the period, as further described in </w:t>
      </w:r>
      <w:hyperlink w:anchor="i9a6b03a630d54d2f9a50f30fac056880_97">
        <w:r>
          <w:rPr>
            <w:rStyle w:val="InternetLink"/>
            <w:rFonts w:ascii="Times New Roman;serif" w:hAnsi="Times New Roman;serif"/>
            <w:b w:val="false"/>
            <w:color w:val="0000FF"/>
            <w:sz w:val="20"/>
            <w:u w:val="single"/>
          </w:rPr>
          <w:t>Note 27. Business Combination</w:t>
        </w:r>
      </w:hyperlink>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66750"/>
                <wp:effectExtent l="0" t="0" r="0" b="0"/>
                <wp:wrapNone/>
                <wp:docPr id="20" name="Frame19"/>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7</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2.1.3    Crypto Assets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may hold USD Coin (“USDC”) and Tether (“USDT”) (together as “Crypto Assets”) as transitory settlement assets within its payment processing operations. The Group does not hold stablecoins for investment purposes, treasury management or speculative purposes. Accordingly, the Company has elected the following accounting policy over crypto assets transactions:</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USDC: classified as a financial asset at fair value through profit or loss (FVPL) under IFRS 9 - Financial instruments. On initial recognition, USDC is measured at fair value (USD 1.00 per unit translated at the spot exchange rate). Subsequently, USDC is re-measured to fair value at each reporting date, changes in fair value are recognized as cost of service.</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USDT: classified as an intangible asset under IAS 38 - Intangible assets and measured at cost less accumulated impairment losses. USDT is not amortized (indefinite useful life) and is tested for impairment under IAS 36 at each reporting date. Impairment losses, when applicable, are recognized immediately in profit or loss as cost of services.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crypto assets are held for short period, and only corresponding to merchant payment processing volume, additions and disposals are characterized by high turnover, large volumes and short-term periods. Inflows and outflows associated with payment volume transactions of the Company’s merchants are nearly immediately converted into cash. Inflows and outflows generated from USDC and USDT are classified within operating activities on a net proceeds basis.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Company’s retained processing fees, when converted to fiat currency, constitute cash inflows to the Company, which are classified within operating activities on a net proceeds basis.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has no balances in USDC or USDT as of June 30, 2026.</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2.2. New accounting pronouncements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accounting policies adopted in the preparation of the Unaudited Consolidated Condensed Interim Financial statements are consistent with those followed in the preparation of the Group’s Annual Consolidated Financial Statements for the year ended December 31, 2025.</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 xml:space="preserve">IFRS 9 – Financial Instruments and IFRS 7 Financial Instruments: Disclosure (effective on January 1, 2026)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30, 2024, the IASB issued target amendments to IFRS 9 and IFRS 7. The amendments intend to: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Clarify the period of recognition and derecognition of some financial assets and liabilities, with new exception for some financial liabilities settled through electronic cash transfer;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Provides further guidance for assessing whether a financial asset meets the solely payments of principal and interest (SPPI) criterion;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add new disclosures for certain instruments with contractual terms that can change cash flows (such as some financial instruments with features linked to the achievement of environment, social and governance targets)/ and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update the disclosures for equity instruments designated at fair value through other comprehensive income (“FVTOCI”).</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adopted these amendments on 1 January 2026. The adoption did not have a material impact on the Group’s financial statements.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2.3. Impact of IFRS Accounting Standards issued but not yet applied by the Group</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new standards, amendments to standards and interpretation of IFRS issued by the IASB were not adopted since they are not effective for the issuance of the Unaudited Consolidated Condensed Interim Financial Statements. The Company is assessing the impact of the standards and plans to adopt these new standards, amendments, and interpretation, if applicable, when they become effective.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IFRS 18 - Presentation and disclosure in financial statements (effective on January 1, 2027)</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IFRS 18 will replace IAS 1 Presentation of financial statements, introducing new requirements that will help to achieve comparability of the financial performance of similar entities and provide more relevant information and transparency to users. Even though IFRS 18 will not impact the recognition or measurement of items in the financial statements, its impacts on presentation and disclosure are expected to be pervasive, particularly those related to the statement of financial performance and providing management-defined performance measures within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66750"/>
                <wp:effectExtent l="0" t="0" r="0" b="0"/>
                <wp:wrapNone/>
                <wp:docPr id="21" name="Frame20"/>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8</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is in the process of determining the impact on the group of applying IFRS 18, which will be followed by a transition plan to report our first IFRS 18-compliant interim financial statements for the period ending March 31, 2027 and annual financial statements for the period ending 31 December 2027. It is also expected that the cash flow statement will be impacted, because interest and dividends received and finance costs paid are required to each be presented in a single category.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currently presents an operating profit subtotal. The group is performing a detailed assessment to determine the appropriate classification of items to ensure that the operating profit subtotal will comply with the requirements of IFRS 18. Furthermore, the new aggregation and disaggregation requirements will lead into changes to present the most useful structured summary.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will apply the new standard from its mandatory effective date of 1 January 2027. Retrospective application is required, and so the comparative information for the financial year ending 31 December 2026 will be restated in accordance with IFRS 18.</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At each subsequent reporting period, the group will provide an update on the progress towards transition to IFRS 18.</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IFRS 19 - Subsidiaries without Public Accountability: Disclosures and amendment (effective on January 1, 2027)</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Issued on May 9, 2024, IFRS 19 allows for certain eligible subsidiaries of parent entities that report under IFRS Accounting Standards to apply reduced disclosure requirements. The Group does not expect this standard to have an impact on its operations or financial statements.</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Amendments to IAS 21 – Translation to a Hyperinflationary Presentation Currency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Issued in November 2025, the IASB amended IAS 21 to clarify the translation requirements when an entity presents its financial statements in the currency of a hyperinflationary economy while its functional currency, or the functional currency of a foreign operation, is not hyperinflationary. The amendments provide guidance on how such financial statements should be translated in these circumstances.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does not expect this amendment to have an impact on its operations or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3. Accounting estimates and judgments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Accounting estimates and judgments are continually evaluated and are based on historical experience and other factors, including expectations of future events that are believed to be reasonable under the circumstances.</w:t>
      </w:r>
    </w:p>
    <w:p>
      <w:pPr>
        <w:pStyle w:val="TextBody"/>
        <w:bidi w:val="0"/>
        <w:spacing w:lineRule="auto" w:line="288" w:before="200" w:after="200"/>
        <w:jc w:val="both"/>
        <w:rPr/>
      </w:pPr>
      <w:r>
        <w:rPr>
          <w:rFonts w:ascii="Times New Roman;serif" w:hAnsi="Times New Roman;serif"/>
          <w:b w:val="false"/>
          <w:color w:val="000000"/>
          <w:sz w:val="20"/>
        </w:rPr>
        <w:t xml:space="preserve">The accounting estimates and judgments adopted in these Unaudited Consolidated Condensed Interim Financial Statements are consistent with those of the previous financial year and the corresponding interim reporting period, except in relation to the fair value measurements arising from the business combination completed during the period, as further described in </w:t>
      </w:r>
      <w:hyperlink w:anchor="i9a6b03a630d54d2f9a50f30fac056880_97">
        <w:r>
          <w:rPr>
            <w:rStyle w:val="InternetLink"/>
            <w:rFonts w:ascii="Times New Roman;serif" w:hAnsi="Times New Roman;serif"/>
            <w:b w:val="false"/>
            <w:color w:val="0000FF"/>
            <w:sz w:val="20"/>
            <w:u w:val="single"/>
          </w:rPr>
          <w:t>Note 27. Business Combination</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4. Consolidation of subsidiaries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DLocal Limited is the Group parent and acts as a holding company for all subsidiaries. Its principal sources of revenue include dividends from subsidiaries and profit-sharing payments from subsidiary partnerships. dLocal’s main activity is the processing of cross-border and local payments, enabling international merchants to access end customers in emerging markets.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since December 31, 2025 in the accounting practices adopted for consolidation of the Company’s direct and indirect interests in its subsidiaries for the purposes of these Unaudited Consolidated Condensed Interim Financial Statements. During the six-month period ended June 30, 2026, Dlocal Netherlands BV was incorporated in Netherlands, with a 100% ownership by the Group. The Group has determined that the incorporation of this subsidiary during 2026 do not constitute a business combination according to IFRS 3. </w:t>
      </w:r>
    </w:p>
    <w:p>
      <w:pPr>
        <w:pStyle w:val="TextBody"/>
        <w:bidi w:val="0"/>
        <w:spacing w:lineRule="auto" w:line="288" w:before="200" w:after="200"/>
        <w:jc w:val="both"/>
        <w:rPr/>
      </w:pPr>
      <w:r>
        <w:rPr>
          <w:rFonts w:ascii="Times New Roman;serif" w:hAnsi="Times New Roman;serif"/>
          <w:b w:val="false"/>
          <w:color w:val="000000"/>
          <w:sz w:val="20"/>
        </w:rPr>
        <w:t xml:space="preserve">On February 27, 2026, the Company acquired 100% of the issued shares and obtained control of Mint Code Solutions S.A., Cameroon, refer to </w:t>
      </w:r>
      <w:hyperlink w:anchor="i9a6b03a630d54d2f9a50f30fac056880_97">
        <w:r>
          <w:rPr>
            <w:rStyle w:val="InternetLink"/>
            <w:rFonts w:ascii="Times New Roman;serif" w:hAnsi="Times New Roman;serif"/>
            <w:b w:val="false"/>
            <w:color w:val="0000FF"/>
            <w:sz w:val="20"/>
            <w:u w:val="single"/>
          </w:rPr>
          <w:t>Note 27. Business Combination</w:t>
        </w:r>
      </w:hyperlink>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66750"/>
                <wp:effectExtent l="0" t="0" r="0" b="0"/>
                <wp:wrapNone/>
                <wp:docPr id="22" name="Frame21"/>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9</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5. Segment reporting</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operates as a single operating segment, “payment processing”. Operating segments are defined as components of an enterprise for which separate financial information is regularly evaluated by the chief operating decision maker (“CODM”) which is the group’s executive team represented by executive officers and directors. The Group has determined that its Executive Team is the chief operating decision maker as they determine the allocation of resources and assess performance.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Executive Team evaluates the Group’s financial information and resources, and assesses the financial performance of these resources based on consolidated Revenue and Operating Profit as disclosed in the Statement of Comprehensive Income . Effective from January 1, 2026, operating profit is used as a performance measure by the Executive Team. Adjusted EBITDA and Adjusted EBITDA margin are no longer used as measures of segment performance.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Group’s revenue, operating profit and assets for this one reportable segment can be determined by reference to the Unaudited Consolidated Condensed Interim Statement of Comprehensive Income and Unaudited Consolidated Condensed Interim Statement of Financial Position.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required by IFRS 8 Operating Segments, below are presented applicable entity-wide disclosures related to Group’s revenues.</w:t>
      </w:r>
    </w:p>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breakdown by region and country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derives its revenues from delivering services to international merchants (mainly in the United States, Europe, and China), enabling them to receive payments and facilitate payments in emerging markets. The Group has operations in more than 60 countries, where its merchant customers operate.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Group’s revenue by region based on the country in which the end users of our merchant customers executed their payments. This presentation does not imply that revenue is generated, sourced, or subject to taxation in the respective country. Revenue recognition is based on IFRS principles and reflects the contractual relationships between the Group, its merchants, and its operating companies. For financial reporting purposes, regions are disclosed separately only if payments from/to merchant customers in a given region represented at least 10% of total revenues.</w:t>
      </w:r>
    </w:p>
    <w:tbl>
      <w:tblPr>
        <w:tblW w:w="7303" w:type="dxa"/>
        <w:jc w:val="left"/>
        <w:tblInd w:w="0" w:type="dxa"/>
        <w:tblLayout w:type="fixed"/>
        <w:tblCellMar>
          <w:top w:w="28" w:type="dxa"/>
          <w:left w:w="28" w:type="dxa"/>
          <w:bottom w:w="28" w:type="dxa"/>
          <w:right w:w="28" w:type="dxa"/>
        </w:tblCellMar>
      </w:tblPr>
      <w:tblGrid>
        <w:gridCol w:w="440"/>
        <w:gridCol w:w="385"/>
        <w:gridCol w:w="390"/>
        <w:gridCol w:w="385"/>
        <w:gridCol w:w="385"/>
        <w:gridCol w:w="385"/>
        <w:gridCol w:w="165"/>
        <w:gridCol w:w="165"/>
        <w:gridCol w:w="165"/>
        <w:gridCol w:w="385"/>
        <w:gridCol w:w="385"/>
        <w:gridCol w:w="385"/>
        <w:gridCol w:w="109"/>
        <w:gridCol w:w="109"/>
        <w:gridCol w:w="109"/>
        <w:gridCol w:w="385"/>
        <w:gridCol w:w="385"/>
        <w:gridCol w:w="385"/>
        <w:gridCol w:w="184"/>
        <w:gridCol w:w="184"/>
        <w:gridCol w:w="184"/>
        <w:gridCol w:w="375"/>
        <w:gridCol w:w="376"/>
        <w:gridCol w:w="498"/>
      </w:tblGrid>
      <w:tr>
        <w:trPr/>
        <w:tc>
          <w:tcPr>
            <w:tcW w:w="4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LatAm</w:t>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589,116 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365,605 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326,630 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202,709 </w:t>
            </w:r>
          </w:p>
        </w:tc>
        <w:tc>
          <w:tcPr>
            <w:tcW w:w="498"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148,010 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81,410 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90,176 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46,991 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130,130 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59,882 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68,918 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31,637 </w:t>
            </w:r>
          </w:p>
        </w:tc>
        <w:tc>
          <w:tcPr>
            <w:tcW w:w="49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130,396 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82,371 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74,716 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45,660 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countries</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180,580 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141,942 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92,820 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78,421 </w:t>
            </w:r>
          </w:p>
        </w:tc>
        <w:tc>
          <w:tcPr>
            <w:tcW w:w="49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Non-LatAm </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146,410 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107,612 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73,034 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53,749 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735,526</w:t>
            </w:r>
            <w:r>
              <w:rPr>
                <w:color w:val="494949"/>
              </w:rPr>
              <w:t> </w:t>
            </w:r>
          </w:p>
        </w:tc>
        <w:tc>
          <w:tcPr>
            <w:tcW w:w="38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473,217</w:t>
            </w:r>
            <w:r>
              <w:rPr>
                <w:color w:val="494949"/>
              </w:rPr>
              <w:t> </w:t>
            </w:r>
          </w:p>
        </w:tc>
        <w:tc>
          <w:tcPr>
            <w:tcW w:w="38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399,664</w:t>
            </w:r>
            <w:r>
              <w:rPr>
                <w:color w:val="494949"/>
              </w:rPr>
              <w:t> </w:t>
            </w:r>
          </w:p>
        </w:tc>
        <w:tc>
          <w:tcPr>
            <w:tcW w:w="38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256,458</w:t>
            </w:r>
            <w:r>
              <w:rPr>
                <w:color w:val="494949"/>
              </w:rPr>
              <w:t> </w:t>
            </w:r>
          </w:p>
        </w:tc>
        <w:tc>
          <w:tcPr>
            <w:tcW w:w="498"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Group had no revenues from customers domiciled in the Cayman Islands. The Group’s revenues are derived from payment processing services provided to merchants, regardless of the geographic location of their customers. dLocal does not engage with or provide services directly to the end-users of its merchants.</w:t>
      </w:r>
    </w:p>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 with large customers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Group’s revenue from its top 10 merchants represented 61% of revenue. For the six months ended June 30, 2026, two merchants (none for the six months ended June 30, 2025) individually accounted for more than 10% of the total revenue.</w:t>
      </w:r>
    </w:p>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Non-current assets by country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non-current assets located in the Cayman Islands.</w:t>
      </w:r>
    </w:p>
    <w:p>
      <w:pPr>
        <w:pStyle w:val="TextBody"/>
        <w:bidi w:val="0"/>
        <w:spacing w:lineRule="auto" w:line="288" w:before="200" w:after="200"/>
        <w:jc w:val="both"/>
        <w:rPr/>
      </w:pPr>
      <w:r>
        <w:rPr>
          <w:rFonts w:ascii="Times New Roman;serif" w:hAnsi="Times New Roman;serif"/>
          <w:b w:val="false"/>
          <w:color w:val="000000"/>
          <w:sz w:val="20"/>
        </w:rPr>
        <w:t xml:space="preserve">Material non-current assets are the intangible assets described in </w:t>
      </w:r>
      <w:hyperlink w:anchor="i9a6b03a630d54d2f9a50f30fac056880_73">
        <w:r>
          <w:rPr>
            <w:rStyle w:val="InternetLink"/>
            <w:rFonts w:ascii="Times New Roman;serif" w:hAnsi="Times New Roman;serif"/>
            <w:b w:val="false"/>
            <w:color w:val="0000FF"/>
            <w:sz w:val="20"/>
            <w:u w:val="single"/>
          </w:rPr>
          <w:t>Note 19. Intangible Assets.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66750"/>
                <wp:effectExtent l="0" t="0" r="0" b="0"/>
                <wp:wrapNone/>
                <wp:docPr id="23" name="Frame22"/>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10</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`6. Revenues and Cost of Services</w:t>
      </w:r>
    </w:p>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(a)Revenue and Gross profit description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dLocal derives revenue by processing payments for international merchants who operate in selected emerging markets.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breakdown of revenue from contracts with customers per type of service is as follows:</w:t>
      </w:r>
    </w:p>
    <w:tbl>
      <w:tblPr>
        <w:tblW w:w="9118" w:type="dxa"/>
        <w:jc w:val="left"/>
        <w:tblInd w:w="0" w:type="dxa"/>
        <w:tblLayout w:type="fixed"/>
        <w:tblCellMar>
          <w:top w:w="28" w:type="dxa"/>
          <w:left w:w="28" w:type="dxa"/>
          <w:bottom w:w="28" w:type="dxa"/>
          <w:right w:w="28" w:type="dxa"/>
        </w:tblCellMar>
      </w:tblPr>
      <w:tblGrid>
        <w:gridCol w:w="1030"/>
        <w:gridCol w:w="907"/>
        <w:gridCol w:w="913"/>
        <w:gridCol w:w="405"/>
        <w:gridCol w:w="405"/>
        <w:gridCol w:w="385"/>
        <w:gridCol w:w="165"/>
        <w:gridCol w:w="165"/>
        <w:gridCol w:w="165"/>
        <w:gridCol w:w="405"/>
        <w:gridCol w:w="405"/>
        <w:gridCol w:w="385"/>
        <w:gridCol w:w="109"/>
        <w:gridCol w:w="109"/>
        <w:gridCol w:w="109"/>
        <w:gridCol w:w="405"/>
        <w:gridCol w:w="405"/>
        <w:gridCol w:w="386"/>
        <w:gridCol w:w="184"/>
        <w:gridCol w:w="184"/>
        <w:gridCol w:w="184"/>
        <w:gridCol w:w="404"/>
        <w:gridCol w:w="406"/>
        <w:gridCol w:w="498"/>
      </w:tblGrid>
      <w:tr>
        <w:trPr/>
        <w:tc>
          <w:tcPr>
            <w:tcW w:w="103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5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revenues (i)</w:t>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693,226 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463,373 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377,903 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249,072 </w:t>
            </w:r>
          </w:p>
        </w:tc>
        <w:tc>
          <w:tcPr>
            <w:tcW w:w="498"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income (ii)</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 (iii)</w:t>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7,192 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14,917 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4,734 </w:t>
            </w:r>
          </w:p>
        </w:tc>
        <w:tc>
          <w:tcPr>
            <w:tcW w:w="49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Revenues from payment processing</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735,526</w:t>
            </w:r>
            <w:r>
              <w:rPr>
                <w:color w:val="494949"/>
              </w:rPr>
              <w:t>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473,217</w:t>
            </w:r>
            <w:r>
              <w:rPr>
                <w:color w:val="494949"/>
              </w:rPr>
              <w:t>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399,664</w:t>
            </w:r>
            <w:r>
              <w:rPr>
                <w:color w:val="494949"/>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256,458</w:t>
            </w:r>
            <w:r>
              <w:rPr>
                <w:color w:val="494949"/>
              </w:rPr>
              <w:t>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(489,692)</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(289,453)</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(272,514)</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(157,573)</w:t>
            </w:r>
          </w:p>
        </w:tc>
        <w:tc>
          <w:tcPr>
            <w:tcW w:w="498"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245,834</w:t>
            </w:r>
            <w:r>
              <w:rPr>
                <w:color w:val="494949"/>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183,764</w:t>
            </w:r>
            <w:r>
              <w:rPr>
                <w:color w:val="494949"/>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127,150</w:t>
            </w:r>
            <w:r>
              <w:rPr>
                <w:color w:val="494949"/>
              </w:rPr>
              <w:t>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98,885</w:t>
            </w:r>
            <w:r>
              <w:rPr>
                <w:color w:val="494949"/>
              </w:rPr>
              <w:t> </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(i)Transaction revenues consist of processing, foreign exchange, installment, chargebacks, refunds and other transactional fees. These fees are recognized as revenue at a point in time when a payment transaction, or its reversal in the case of chargebacks and refunds, has been processed</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(ii)Starting June 30, 2026, the Company decided to present finance income separately which was previously reported within transaction revenue. Finance income mostly comprised of income recognized as per advancement fee charged on early payment of payables to Merchants.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(iii)Other revenues are comprised mainly of fees related to transactional taxes, minimum monthly fees, transfer fees and initial setup fees. Other revenues are recognized at a point in time when the performance obligation is satisfied.</w:t>
      </w:r>
    </w:p>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(b)Revenue recognized at a point in time and over time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Transaction revenues are recognized at a point in time when the payment transaction, or its reversal in the case of chargeback and refunds, has been processed. Other revenues are recognized as revenue at a point in time when the respective performance obligation is satisfied. The Group did not recognize revenues over time for the six months ended June 30, 2026 and 2025.</w:t>
      </w:r>
    </w:p>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(c)Cost of services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Cost of services are composed of the following:</w:t>
      </w:r>
    </w:p>
    <w:tbl>
      <w:tblPr>
        <w:tblW w:w="8833" w:type="dxa"/>
        <w:jc w:val="left"/>
        <w:tblInd w:w="0" w:type="dxa"/>
        <w:tblLayout w:type="fixed"/>
        <w:tblCellMar>
          <w:top w:w="28" w:type="dxa"/>
          <w:left w:w="28" w:type="dxa"/>
          <w:bottom w:w="28" w:type="dxa"/>
          <w:right w:w="28" w:type="dxa"/>
        </w:tblCellMar>
      </w:tblPr>
      <w:tblGrid>
        <w:gridCol w:w="994"/>
        <w:gridCol w:w="873"/>
        <w:gridCol w:w="878"/>
        <w:gridCol w:w="385"/>
        <w:gridCol w:w="385"/>
        <w:gridCol w:w="385"/>
        <w:gridCol w:w="165"/>
        <w:gridCol w:w="165"/>
        <w:gridCol w:w="165"/>
        <w:gridCol w:w="385"/>
        <w:gridCol w:w="385"/>
        <w:gridCol w:w="385"/>
        <w:gridCol w:w="109"/>
        <w:gridCol w:w="109"/>
        <w:gridCol w:w="109"/>
        <w:gridCol w:w="385"/>
        <w:gridCol w:w="385"/>
        <w:gridCol w:w="385"/>
        <w:gridCol w:w="184"/>
        <w:gridCol w:w="184"/>
        <w:gridCol w:w="184"/>
        <w:gridCol w:w="375"/>
        <w:gridCol w:w="376"/>
        <w:gridCol w:w="498"/>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7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Processing costs (i)</w:t>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468,932 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273,648 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262,084 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149,319 </w:t>
            </w:r>
          </w:p>
        </w:tc>
        <w:tc>
          <w:tcPr>
            <w:tcW w:w="498"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Hosting expenses (ii)</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2,645 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(iii)</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11,791 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8,590 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5,670 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49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(iv)</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489,692</w:t>
            </w:r>
            <w:r>
              <w:rPr>
                <w:color w:val="494949"/>
              </w:rPr>
              <w:t> </w:t>
            </w:r>
          </w:p>
        </w:tc>
        <w:tc>
          <w:tcPr>
            <w:tcW w:w="38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289,453</w:t>
            </w:r>
            <w:r>
              <w:rPr>
                <w:color w:val="494949"/>
              </w:rPr>
              <w:t> </w:t>
            </w:r>
          </w:p>
        </w:tc>
        <w:tc>
          <w:tcPr>
            <w:tcW w:w="38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272,514</w:t>
            </w:r>
            <w:r>
              <w:rPr>
                <w:color w:val="494949"/>
              </w:rPr>
              <w:t> </w:t>
            </w:r>
          </w:p>
        </w:tc>
        <w:tc>
          <w:tcPr>
            <w:tcW w:w="385"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157,573</w:t>
            </w:r>
            <w:r>
              <w:rPr>
                <w:color w:val="494949"/>
              </w:rPr>
              <w:t> </w:t>
            </w:r>
          </w:p>
        </w:tc>
        <w:tc>
          <w:tcPr>
            <w:tcW w:w="498"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(i)Include fees financial institutions (e.g., banks, local acquirers, or payment method providers) charge the Group, typically as a percentage of the transaction value (but in certain cases, as a fixed fee such as in the case of pay-outs in relation to payment processing, cash advances, installment payments and merchant advances finance cost). Such fees vary by financial institution and typically depend on the settlement period contracted with such institution, the payment method used and the type of product (e.g., pay-in or a pay-out). These fees also include conversion and expatriation or repatriation costs charged by banks and brokers and the corresponding hedging results. For further details related to effect of hedging results see </w:t>
      </w:r>
      <w:hyperlink w:anchor="i9a6b03a630d54d2f9a50f30fac056880_82">
        <w:r>
          <w:rPr>
            <w:rStyle w:val="InternetLink"/>
            <w:rFonts w:ascii="Times New Roman;serif" w:hAnsi="Times New Roman;serif"/>
            <w:b w:val="false"/>
            <w:color w:val="0000FF"/>
            <w:sz w:val="16"/>
            <w:u w:val="single"/>
          </w:rPr>
          <w:t>Note 22. Derivative financial instruments.</w:t>
        </w:r>
      </w:hyperlink>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(ii)Expenses related to hosting services for the Group’s payment platform.</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(iii)Represents the amortization of capitalized internally-generated software (i.e., dLocal’ s payment platform). For further detail refer to </w:t>
      </w:r>
      <w:hyperlink w:anchor="i9a6b03a630d54d2f9a50f30fac056880_73">
        <w:r>
          <w:rPr>
            <w:rStyle w:val="InternetLink"/>
            <w:rFonts w:ascii="Times New Roman;serif" w:hAnsi="Times New Roman;serif"/>
            <w:b w:val="false"/>
            <w:color w:val="0000FF"/>
            <w:sz w:val="16"/>
            <w:u w:val="single"/>
          </w:rPr>
          <w:t>Note 19. Intangible Assets.</w:t>
        </w:r>
      </w:hyperlink>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(iv)Consists of salaries and wages of employees and contractors directly involved in our day-to-day operations. For further detail refer to </w:t>
      </w:r>
      <w:hyperlink w:anchor="i9a6b03a630d54d2f9a50f30fac056880_43">
        <w:r>
          <w:rPr>
            <w:rStyle w:val="InternetLink"/>
            <w:rFonts w:ascii="Times New Roman;serif" w:hAnsi="Times New Roman;serif"/>
            <w:b w:val="false"/>
            <w:color w:val="0000FF"/>
            <w:sz w:val="16"/>
            <w:u w:val="single"/>
          </w:rPr>
          <w:t>Note 9. Employee Benefits.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66750"/>
                <wp:effectExtent l="0" t="0" r="0" b="0"/>
                <wp:wrapNone/>
                <wp:docPr id="24" name="Frame23"/>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11</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7. Technology and development expenses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Technology and development expenses consist of the following:</w:t>
      </w:r>
    </w:p>
    <w:tbl>
      <w:tblPr>
        <w:tblW w:w="9714" w:type="dxa"/>
        <w:jc w:val="left"/>
        <w:tblInd w:w="0" w:type="dxa"/>
        <w:tblLayout w:type="fixed"/>
        <w:tblCellMar>
          <w:top w:w="28" w:type="dxa"/>
          <w:left w:w="28" w:type="dxa"/>
          <w:bottom w:w="28" w:type="dxa"/>
          <w:right w:w="28" w:type="dxa"/>
        </w:tblCellMar>
      </w:tblPr>
      <w:tblGrid>
        <w:gridCol w:w="1332"/>
        <w:gridCol w:w="1169"/>
        <w:gridCol w:w="1174"/>
        <w:gridCol w:w="385"/>
        <w:gridCol w:w="385"/>
        <w:gridCol w:w="385"/>
        <w:gridCol w:w="165"/>
        <w:gridCol w:w="165"/>
        <w:gridCol w:w="165"/>
        <w:gridCol w:w="385"/>
        <w:gridCol w:w="385"/>
        <w:gridCol w:w="385"/>
        <w:gridCol w:w="109"/>
        <w:gridCol w:w="109"/>
        <w:gridCol w:w="109"/>
        <w:gridCol w:w="385"/>
        <w:gridCol w:w="385"/>
        <w:gridCol w:w="385"/>
        <w:gridCol w:w="184"/>
        <w:gridCol w:w="184"/>
        <w:gridCol w:w="184"/>
        <w:gridCol w:w="351"/>
        <w:gridCol w:w="351"/>
        <w:gridCol w:w="498"/>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67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(i)</w:t>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13,423 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7,529 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6,798 </w:t>
            </w:r>
          </w:p>
        </w:tc>
        <w:tc>
          <w:tcPr>
            <w:tcW w:w="385"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4,288 </w:t>
            </w:r>
          </w:p>
        </w:tc>
        <w:tc>
          <w:tcPr>
            <w:tcW w:w="498"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licenses (ii)</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Infrastructure expenses (iii)</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3,871 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49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and technology security expenses (iv)</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technology expenses</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2,004 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3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49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7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25,422</w:t>
            </w:r>
            <w:r>
              <w:rPr>
                <w:color w:val="494949"/>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14,147</w:t>
            </w:r>
            <w:r>
              <w:rPr>
                <w:color w:val="494949"/>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13,298</w:t>
            </w:r>
            <w:r>
              <w:rPr>
                <w:color w:val="494949"/>
              </w:rPr>
              <w:t>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7,380</w:t>
            </w:r>
            <w:r>
              <w:rPr>
                <w:color w:val="494949"/>
              </w:rPr>
              <w:t> </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(i)Consists primarily of compensation of full-time equivalents, or FTEs, engaged in or related to product and technology development, excluding capitalized salaries and wages related to internally generated software. For further detail on total salaries and wages refer to </w:t>
      </w:r>
      <w:hyperlink w:anchor="i9a6b03a630d54d2f9a50f30fac056880_43">
        <w:r>
          <w:rPr>
            <w:rStyle w:val="InternetLink"/>
            <w:rFonts w:ascii="Times New Roman;serif" w:hAnsi="Times New Roman;serif"/>
            <w:b w:val="false"/>
            <w:color w:val="0000FF"/>
            <w:sz w:val="16"/>
            <w:u w:val="single"/>
          </w:rPr>
          <w:t>Note 9. Employee Benefits.</w:t>
        </w:r>
      </w:hyperlink>
      <w:r>
        <w:rPr>
          <w:color w:val="000000"/>
        </w:rPr>
        <w:t xml:space="preserve"> </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(ii)Consists of software licenses used exclusively by the technology development department for the development of the platform.</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(iii)Represents information technology costs to support the Group’s infrastructure and back-office operations.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(iv)Represents costs incurred to monitor the security of our network and platform.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8. Sales and marketing expenses and General and administrative expenses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and General and administrative expenses are comprised of the following:</w:t>
      </w:r>
    </w:p>
    <w:tbl>
      <w:tblPr>
        <w:tblW w:w="8784" w:type="dxa"/>
        <w:jc w:val="left"/>
        <w:tblInd w:w="0" w:type="dxa"/>
        <w:tblLayout w:type="fixed"/>
        <w:tblCellMar>
          <w:top w:w="28" w:type="dxa"/>
          <w:left w:w="28" w:type="dxa"/>
          <w:bottom w:w="28" w:type="dxa"/>
          <w:right w:w="28" w:type="dxa"/>
        </w:tblCellMar>
      </w:tblPr>
      <w:tblGrid>
        <w:gridCol w:w="875"/>
        <w:gridCol w:w="767"/>
        <w:gridCol w:w="772"/>
        <w:gridCol w:w="109"/>
        <w:gridCol w:w="109"/>
        <w:gridCol w:w="109"/>
        <w:gridCol w:w="385"/>
        <w:gridCol w:w="385"/>
        <w:gridCol w:w="386"/>
        <w:gridCol w:w="165"/>
        <w:gridCol w:w="165"/>
        <w:gridCol w:w="165"/>
        <w:gridCol w:w="385"/>
        <w:gridCol w:w="385"/>
        <w:gridCol w:w="386"/>
        <w:gridCol w:w="109"/>
        <w:gridCol w:w="109"/>
        <w:gridCol w:w="109"/>
        <w:gridCol w:w="385"/>
        <w:gridCol w:w="385"/>
        <w:gridCol w:w="386"/>
        <w:gridCol w:w="184"/>
        <w:gridCol w:w="184"/>
        <w:gridCol w:w="184"/>
        <w:gridCol w:w="351"/>
        <w:gridCol w:w="351"/>
        <w:gridCol w:w="499"/>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Sales and marketing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41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(i)</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15,419 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9,509 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7,639 </w:t>
            </w:r>
          </w:p>
        </w:tc>
        <w:tc>
          <w:tcPr>
            <w:tcW w:w="386"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3,828 </w:t>
            </w:r>
          </w:p>
        </w:tc>
        <w:tc>
          <w:tcPr>
            <w:tcW w:w="499" w:type="dxa"/>
            <w:tcBorders>
              <w:top w:val="single" w:sz="8"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expenses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19,811</w:t>
            </w:r>
            <w:r>
              <w:rPr>
                <w:color w:val="494949"/>
              </w:rPr>
              <w:t> </w:t>
            </w:r>
          </w:p>
        </w:tc>
        <w:tc>
          <w:tcPr>
            <w:tcW w:w="386"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11,977</w:t>
            </w:r>
            <w:r>
              <w:rPr>
                <w:color w:val="494949"/>
              </w:rPr>
              <w:t> </w:t>
            </w:r>
          </w:p>
        </w:tc>
        <w:tc>
          <w:tcPr>
            <w:tcW w:w="386"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9,892</w:t>
            </w:r>
            <w:r>
              <w:rPr>
                <w:color w:val="494949"/>
              </w:rPr>
              <w:t> </w:t>
            </w:r>
          </w:p>
        </w:tc>
        <w:tc>
          <w:tcPr>
            <w:tcW w:w="386"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4,842</w:t>
            </w:r>
            <w:r>
              <w:rPr>
                <w:color w:val="494949"/>
              </w:rPr>
              <w:t> </w:t>
            </w:r>
          </w:p>
        </w:tc>
        <w:tc>
          <w:tcPr>
            <w:tcW w:w="499" w:type="dxa"/>
            <w:tcBorders>
              <w:top w:val="single" w:sz="8" w:space="0" w:color="000000"/>
              <w:bottom w:val="double" w:sz="8" w:space="0" w:color="000000"/>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09" w:type="dxa"/>
        <w:jc w:val="left"/>
        <w:tblInd w:w="0" w:type="dxa"/>
        <w:tblLayout w:type="fixed"/>
        <w:tblCellMar>
          <w:top w:w="28" w:type="dxa"/>
          <w:left w:w="28" w:type="dxa"/>
          <w:bottom w:w="28" w:type="dxa"/>
          <w:right w:w="28" w:type="dxa"/>
        </w:tblCellMar>
      </w:tblPr>
      <w:tblGrid>
        <w:gridCol w:w="1027"/>
        <w:gridCol w:w="902"/>
        <w:gridCol w:w="905"/>
        <w:gridCol w:w="109"/>
        <w:gridCol w:w="109"/>
        <w:gridCol w:w="109"/>
        <w:gridCol w:w="384"/>
        <w:gridCol w:w="384"/>
        <w:gridCol w:w="386"/>
        <w:gridCol w:w="109"/>
        <w:gridCol w:w="109"/>
        <w:gridCol w:w="109"/>
        <w:gridCol w:w="385"/>
        <w:gridCol w:w="385"/>
        <w:gridCol w:w="386"/>
        <w:gridCol w:w="109"/>
        <w:gridCol w:w="109"/>
        <w:gridCol w:w="109"/>
        <w:gridCol w:w="385"/>
        <w:gridCol w:w="385"/>
        <w:gridCol w:w="386"/>
        <w:gridCol w:w="109"/>
        <w:gridCol w:w="109"/>
        <w:gridCol w:w="109"/>
        <w:gridCol w:w="351"/>
        <w:gridCol w:w="351"/>
        <w:gridCol w:w="499"/>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8"/>
              </w:rPr>
            </w:pPr>
            <w:r>
              <w:rPr>
                <w:rFonts w:ascii="Times New Roman;serif" w:hAnsi="Times New Roman;serif"/>
                <w:b/>
                <w:i/>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3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 (iii)</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42,630 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29,415 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21,574 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15,068 </w:t>
            </w:r>
          </w:p>
        </w:tc>
        <w:tc>
          <w:tcPr>
            <w:tcW w:w="499"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Third-party services (iv)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(v)</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20,886 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11,106 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7,094 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5,903 </w:t>
            </w:r>
          </w:p>
        </w:tc>
        <w:tc>
          <w:tcPr>
            <w:tcW w:w="49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79,117</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double" w:sz="8" w:space="0" w:color="6D6D6D"/>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51,327</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double" w:sz="8" w:space="0" w:color="6D6D6D"/>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36,460</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27,003</w:t>
            </w:r>
            <w:r>
              <w:rPr>
                <w:color w:val="494949"/>
              </w:rPr>
              <w:t> </w:t>
            </w:r>
          </w:p>
        </w:tc>
        <w:tc>
          <w:tcPr>
            <w:tcW w:w="499"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(i)Represents salaries and wages related to FTE’s in the Group’s sales and marketing department. For further detail on total salaries and wages refer to </w:t>
      </w:r>
      <w:hyperlink w:anchor="i9a6b03a630d54d2f9a50f30fac056880_43">
        <w:r>
          <w:rPr>
            <w:rStyle w:val="InternetLink"/>
            <w:rFonts w:ascii="Times New Roman;serif" w:hAnsi="Times New Roman;serif"/>
            <w:b w:val="false"/>
            <w:color w:val="0000FF"/>
            <w:sz w:val="16"/>
            <w:u w:val="single"/>
          </w:rPr>
          <w:t xml:space="preserve">Note 9. Employee Benefits. </w:t>
        </w:r>
      </w:hyperlink>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(ii)Represents expenses related to trade marketing events, the distribution and production of marketing and advertising campaigns, public relations expenses, third-party sales commissions, and online performance marketing. </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(iii)Represents salaries and wages related to administrative FTE’s. For further detail on total salaries and wages refer to </w:t>
      </w:r>
      <w:hyperlink w:anchor="i9a6b03a630d54d2f9a50f30fac056880_43">
        <w:r>
          <w:rPr>
            <w:rStyle w:val="InternetLink"/>
            <w:rFonts w:ascii="Times New Roman;serif" w:hAnsi="Times New Roman;serif"/>
            <w:b w:val="false"/>
            <w:color w:val="0000FF"/>
            <w:sz w:val="16"/>
            <w:u w:val="single"/>
          </w:rPr>
          <w:t xml:space="preserve">Note 9. Employee Benefits. </w:t>
        </w:r>
      </w:hyperlink>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(iv)Includes advisors’ fees, legal fees, auditors’ fees and human resources’ fees.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(v)Includes office rent and related expenses, amortization of right-of-use assets, intangible assets and depreciation of property, plant and equipment, taxes, travel and other expenses. </w:t>
        <w:br/>
        <w:t xml:space="preserve">During the six-months period ended on June 30, 2026, certain tax assessments related to prior years were adjusted, resulting in tax impacts amounting to US$9.699 corresponding to fiscal years 2023, 2024 and 2025. From the total amount, US$5.296 relates to income tax and related interest (refer to Note 12. Income tax, footnote (i)) and US$4.403 relates to indirect taxes, other taxes and related interest which were included within other operating expenses. The Company concluded that the out of period adjustment was not material to any previously reported annual or interim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9. Employee benefits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Employee benefits costs are comprised of the following:</w:t>
      </w:r>
    </w:p>
    <w:tbl>
      <w:tblPr>
        <w:tblW w:w="8847" w:type="dxa"/>
        <w:jc w:val="left"/>
        <w:tblInd w:w="0" w:type="dxa"/>
        <w:tblLayout w:type="fixed"/>
        <w:tblCellMar>
          <w:top w:w="28" w:type="dxa"/>
          <w:left w:w="28" w:type="dxa"/>
          <w:bottom w:w="28" w:type="dxa"/>
          <w:right w:w="28" w:type="dxa"/>
        </w:tblCellMar>
      </w:tblPr>
      <w:tblGrid>
        <w:gridCol w:w="1015"/>
        <w:gridCol w:w="893"/>
        <w:gridCol w:w="896"/>
        <w:gridCol w:w="385"/>
        <w:gridCol w:w="385"/>
        <w:gridCol w:w="386"/>
        <w:gridCol w:w="165"/>
        <w:gridCol w:w="165"/>
        <w:gridCol w:w="165"/>
        <w:gridCol w:w="385"/>
        <w:gridCol w:w="385"/>
        <w:gridCol w:w="386"/>
        <w:gridCol w:w="109"/>
        <w:gridCol w:w="109"/>
        <w:gridCol w:w="109"/>
        <w:gridCol w:w="385"/>
        <w:gridCol w:w="385"/>
        <w:gridCol w:w="386"/>
        <w:gridCol w:w="184"/>
        <w:gridCol w:w="184"/>
        <w:gridCol w:w="184"/>
        <w:gridCol w:w="351"/>
        <w:gridCol w:w="351"/>
        <w:gridCol w:w="499"/>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0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contractor fees (i)</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80,158 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51,579 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40,362 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27,046 </w:t>
            </w:r>
          </w:p>
        </w:tc>
        <w:tc>
          <w:tcPr>
            <w:tcW w:w="499"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payments (ii)</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77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92,713</w:t>
            </w:r>
            <w:r>
              <w:rPr>
                <w:color w:val="494949"/>
              </w:rPr>
              <w:t> </w:t>
            </w:r>
          </w:p>
        </w:tc>
        <w:tc>
          <w:tcPr>
            <w:tcW w:w="38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62,510</w:t>
            </w:r>
            <w:r>
              <w:rPr>
                <w:color w:val="494949"/>
              </w:rPr>
              <w:t> </w:t>
            </w:r>
          </w:p>
        </w:tc>
        <w:tc>
          <w:tcPr>
            <w:tcW w:w="38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46,851</w:t>
            </w:r>
            <w:r>
              <w:rPr>
                <w:color w:val="494949"/>
              </w:rPr>
              <w:t> </w:t>
            </w:r>
          </w:p>
        </w:tc>
        <w:tc>
          <w:tcPr>
            <w:tcW w:w="38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31,957</w:t>
            </w:r>
            <w:r>
              <w:rPr>
                <w:color w:val="494949"/>
              </w:rPr>
              <w:t> </w:t>
            </w:r>
          </w:p>
        </w:tc>
        <w:tc>
          <w:tcPr>
            <w:tcW w:w="499"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66750"/>
                <wp:effectExtent l="0" t="0" r="0" b="0"/>
                <wp:wrapNone/>
                <wp:docPr id="25" name="Frame24"/>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12</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shd w:fill="FFFFFF" w:val="clear"/>
        </w:rPr>
        <w:t>(i)</w:t>
      </w:r>
      <w:r>
        <w:rPr>
          <w:rFonts w:ascii="Times New Roman;serif" w:hAnsi="Times New Roman;serif"/>
          <w:b w:val="false"/>
          <w:color w:val="000000"/>
          <w:sz w:val="16"/>
        </w:rPr>
        <w:t>Salaries, wages and contractor fees include social security costs and</w:t>
      </w:r>
      <w:r>
        <w:rPr>
          <w:color w:val="000000"/>
          <w:shd w:fill="FFFFFF" w:val="clear"/>
        </w:rPr>
        <w:t xml:space="preserve"> </w:t>
      </w:r>
      <w:r>
        <w:rPr>
          <w:rFonts w:ascii="Times New Roman;serif" w:hAnsi="Times New Roman;serif"/>
          <w:b w:val="false"/>
          <w:color w:val="000000"/>
          <w:sz w:val="16"/>
          <w:shd w:fill="FFFFFF" w:val="clear"/>
        </w:rPr>
        <w:t>annual bonuses. This line also includes US$</w:t>
      </w:r>
      <w:r>
        <w:rPr>
          <w:rFonts w:ascii="Times New Roman;serif" w:hAnsi="Times New Roman;serif"/>
          <w:b w:val="false"/>
          <w:color w:val="000000"/>
          <w:sz w:val="16"/>
        </w:rPr>
        <w:t xml:space="preserve">18,887 </w:t>
      </w:r>
      <w:r>
        <w:rPr>
          <w:rFonts w:ascii="Times New Roman;serif" w:hAnsi="Times New Roman;serif"/>
          <w:b w:val="false"/>
          <w:color w:val="000000"/>
          <w:sz w:val="16"/>
          <w:shd w:fill="FFFFFF" w:val="clear"/>
        </w:rPr>
        <w:t>for the six months ended June 30, 2026 (US$14,046 for the six months ended June 30, 2025) related to capitalized salaries and wages.</w:t>
      </w:r>
    </w:p>
    <w:p>
      <w:pPr>
        <w:pStyle w:val="TextBody"/>
        <w:bidi w:val="0"/>
        <w:spacing w:lineRule="auto" w:line="288" w:before="0" w:after="40"/>
        <w:ind w:left="0" w:right="0" w:hanging="360"/>
        <w:jc w:val="both"/>
        <w:rPr/>
      </w:pPr>
      <w:r>
        <w:rPr>
          <w:rFonts w:ascii="Times New Roman;serif" w:hAnsi="Times New Roman;serif"/>
          <w:b w:val="false"/>
          <w:color w:val="000000"/>
          <w:sz w:val="16"/>
        </w:rPr>
        <w:t>(ii)</w:t>
      </w:r>
      <w:r>
        <w:rPr>
          <w:rFonts w:ascii="Times New Roman;serif" w:hAnsi="Times New Roman;serif"/>
          <w:b w:val="false"/>
          <w:color w:val="000000"/>
          <w:sz w:val="16"/>
          <w:shd w:fill="FFFFFF" w:val="clear"/>
        </w:rPr>
        <w:t xml:space="preserve">Represents compensation expenses from share-based arrangements settled in the Group’s common shares. For further information refer to </w:t>
      </w:r>
      <w:hyperlink w:anchor="i9a6b03a630d54d2f9a50f30fac056880_55">
        <w:r>
          <w:rPr>
            <w:rStyle w:val="InternetLink"/>
            <w:rFonts w:ascii="Times New Roman;serif" w:hAnsi="Times New Roman;serif"/>
            <w:b w:val="false"/>
            <w:color w:val="0000FF"/>
            <w:sz w:val="16"/>
            <w:u w:val="single"/>
            <w:shd w:fill="FFFFFF" w:val="clear"/>
          </w:rPr>
          <w:t xml:space="preserve">Note 13. </w:t>
        </w:r>
      </w:hyperlink>
      <w:hyperlink w:anchor="i9a6b03a630d54d2f9a50f30fac056880_55">
        <w:r>
          <w:rPr>
            <w:rStyle w:val="InternetLink"/>
            <w:rFonts w:ascii="Times New Roman;serif" w:hAnsi="Times New Roman;serif"/>
            <w:b w:val="false"/>
            <w:color w:val="0000FF"/>
            <w:sz w:val="16"/>
            <w:u w:val="single"/>
          </w:rPr>
          <w:t>Share-based payments.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10. Amortization and depreciation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Amortization and depreciation expenses are composed of the following:</w:t>
      </w:r>
    </w:p>
    <w:tbl>
      <w:tblPr>
        <w:tblW w:w="9298" w:type="dxa"/>
        <w:jc w:val="left"/>
        <w:tblInd w:w="0" w:type="dxa"/>
        <w:tblLayout w:type="fixed"/>
        <w:tblCellMar>
          <w:top w:w="28" w:type="dxa"/>
          <w:left w:w="28" w:type="dxa"/>
          <w:bottom w:w="28" w:type="dxa"/>
          <w:right w:w="28" w:type="dxa"/>
        </w:tblCellMar>
      </w:tblPr>
      <w:tblGrid>
        <w:gridCol w:w="1180"/>
        <w:gridCol w:w="1035"/>
        <w:gridCol w:w="1040"/>
        <w:gridCol w:w="385"/>
        <w:gridCol w:w="385"/>
        <w:gridCol w:w="386"/>
        <w:gridCol w:w="165"/>
        <w:gridCol w:w="165"/>
        <w:gridCol w:w="165"/>
        <w:gridCol w:w="385"/>
        <w:gridCol w:w="385"/>
        <w:gridCol w:w="386"/>
        <w:gridCol w:w="109"/>
        <w:gridCol w:w="109"/>
        <w:gridCol w:w="109"/>
        <w:gridCol w:w="385"/>
        <w:gridCol w:w="385"/>
        <w:gridCol w:w="386"/>
        <w:gridCol w:w="184"/>
        <w:gridCol w:w="184"/>
        <w:gridCol w:w="184"/>
        <w:gridCol w:w="351"/>
        <w:gridCol w:w="351"/>
        <w:gridCol w:w="499"/>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2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14,390 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9,639 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7,328 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5,055 </w:t>
            </w:r>
          </w:p>
        </w:tc>
        <w:tc>
          <w:tcPr>
            <w:tcW w:w="499"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right-of-use assets </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&amp; equipment</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49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15,651</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10,602</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7,936</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5,540</w:t>
            </w:r>
            <w:r>
              <w:rPr>
                <w:color w:val="494949"/>
              </w:rPr>
              <w:t> </w:t>
            </w:r>
          </w:p>
        </w:tc>
        <w:tc>
          <w:tcPr>
            <w:tcW w:w="499"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erif" w:hAnsi="Times New Roman;serif"/>
          <w:b w:val="false"/>
          <w:color w:val="000000"/>
          <w:sz w:val="20"/>
        </w:rPr>
        <w:t xml:space="preserve">For further information related to amortization of intangible assets refer to </w:t>
      </w:r>
      <w:hyperlink w:anchor="i9a6b03a630d54d2f9a50f30fac056880_73">
        <w:r>
          <w:rPr>
            <w:rStyle w:val="InternetLink"/>
            <w:rFonts w:ascii="Times New Roman;serif" w:hAnsi="Times New Roman;serif"/>
            <w:b w:val="false"/>
            <w:color w:val="0000FF"/>
            <w:sz w:val="20"/>
            <w:u w:val="single"/>
          </w:rPr>
          <w:t>Note 19. Intangible Assets.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11. Other results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Other results is composed of the following categories: </w:t>
      </w:r>
    </w:p>
    <w:tbl>
      <w:tblPr>
        <w:tblW w:w="10205" w:type="dxa"/>
        <w:jc w:val="left"/>
        <w:tblInd w:w="0" w:type="dxa"/>
        <w:tblLayout w:type="fixed"/>
        <w:tblCellMar>
          <w:top w:w="28" w:type="dxa"/>
          <w:left w:w="28" w:type="dxa"/>
          <w:bottom w:w="28" w:type="dxa"/>
          <w:right w:w="28" w:type="dxa"/>
        </w:tblCellMar>
      </w:tblPr>
      <w:tblGrid>
        <w:gridCol w:w="1510"/>
        <w:gridCol w:w="1330"/>
        <w:gridCol w:w="1338"/>
        <w:gridCol w:w="385"/>
        <w:gridCol w:w="385"/>
        <w:gridCol w:w="386"/>
        <w:gridCol w:w="160"/>
        <w:gridCol w:w="160"/>
        <w:gridCol w:w="160"/>
        <w:gridCol w:w="385"/>
        <w:gridCol w:w="385"/>
        <w:gridCol w:w="386"/>
        <w:gridCol w:w="109"/>
        <w:gridCol w:w="109"/>
        <w:gridCol w:w="109"/>
        <w:gridCol w:w="385"/>
        <w:gridCol w:w="385"/>
        <w:gridCol w:w="386"/>
        <w:gridCol w:w="177"/>
        <w:gridCol w:w="177"/>
        <w:gridCol w:w="177"/>
        <w:gridCol w:w="359"/>
        <w:gridCol w:w="359"/>
        <w:gridCol w:w="503"/>
      </w:tblGrid>
      <w:tr>
        <w:trPr/>
        <w:tc>
          <w:tcPr>
            <w:tcW w:w="151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3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17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financial instruments (i)</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15,657 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11,083 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5,977 </w:t>
            </w:r>
          </w:p>
        </w:tc>
        <w:tc>
          <w:tcPr>
            <w:tcW w:w="50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gains of financial assets at FVPL (i)</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5,133 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Finance income</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15,824</w:t>
            </w:r>
            <w:r>
              <w:rPr>
                <w:color w:val="494949"/>
              </w:rPr>
              <w:t>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23,338</w:t>
            </w:r>
            <w:r>
              <w:rPr>
                <w:color w:val="494949"/>
              </w:rPr>
              <w:t>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5,067</w:t>
            </w:r>
            <w:r>
              <w:rPr>
                <w:color w:val="494949"/>
              </w:rPr>
              <w:t>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11,110</w:t>
            </w:r>
            <w:r>
              <w:rPr>
                <w:color w:val="494949"/>
              </w:rPr>
              <w:t> </w:t>
            </w:r>
          </w:p>
        </w:tc>
        <w:tc>
          <w:tcPr>
            <w:tcW w:w="50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3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17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expense related to derivative financial instruments (ii)</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(3,632)</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(3,591)</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(3,177)</w:t>
            </w:r>
          </w:p>
        </w:tc>
        <w:tc>
          <w:tcPr>
            <w:tcW w:w="50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finance expenses (iii)</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(4,613)</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(16,481)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(11,677)</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charges for lease liabilities (iv)</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0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Finance costs</w:t>
            </w:r>
          </w:p>
        </w:tc>
        <w:tc>
          <w:tcPr>
            <w:tcW w:w="77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(8,355)</w:t>
            </w:r>
          </w:p>
        </w:tc>
        <w:tc>
          <w:tcPr>
            <w:tcW w:w="38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(20,154)</w:t>
            </w:r>
          </w:p>
        </w:tc>
        <w:tc>
          <w:tcPr>
            <w:tcW w:w="38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(2,757)</w:t>
            </w:r>
          </w:p>
        </w:tc>
        <w:tc>
          <w:tcPr>
            <w:tcW w:w="38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(14,895)</w:t>
            </w:r>
          </w:p>
        </w:tc>
        <w:tc>
          <w:tcPr>
            <w:tcW w:w="503"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adjustment (v)</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(2,869)</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(984)</w:t>
            </w:r>
          </w:p>
        </w:tc>
        <w:tc>
          <w:tcPr>
            <w:tcW w:w="50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4,600</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1,315</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827</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(4,769)</w:t>
            </w:r>
          </w:p>
        </w:tc>
        <w:tc>
          <w:tcPr>
            <w:tcW w:w="503"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360"/>
        <w:jc w:val="both"/>
        <w:rPr/>
      </w:pPr>
      <w:r>
        <w:rPr/>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(i)Includes interest income from short-term liquid financial instruments and financial assets at amortized cost, and fair value gains and losses from financial assets measured at fair value through profit and loss. For further detail refer to </w:t>
      </w:r>
      <w:hyperlink w:anchor="i9a6b03a630d54d2f9a50f30fac056880_64">
        <w:r>
          <w:rPr>
            <w:rStyle w:val="InternetLink"/>
            <w:rFonts w:ascii="Times New Roman;serif" w:hAnsi="Times New Roman;serif"/>
            <w:b w:val="false"/>
            <w:color w:val="0000FF"/>
            <w:sz w:val="16"/>
            <w:u w:val="single"/>
          </w:rPr>
          <w:t>Note 16. Financial assets.</w:t>
        </w:r>
      </w:hyperlink>
      <w:r>
        <w:rPr>
          <w:color w:val="000000"/>
        </w:rPr>
        <w:t xml:space="preserve"> </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(ii)Represents the rate implicit in derivative financial instruments not designated as hedging instruments. The Group elected to separate the spot element from the forward element of the derivative foreign exchange instruments and designated as a hedging instrument the changes in the fair value of the spot element. Changes in the fair value of the hedging portion of the derivative contract are recognized within Costs of services while changes in the fair value of the non-designated portion; i.e. the forward element, are presented within Finance costs. For further information refer to </w:t>
      </w:r>
      <w:hyperlink w:anchor="i9a6b03a630d54d2f9a50f30fac056880_82">
        <w:r>
          <w:rPr>
            <w:rStyle w:val="InternetLink"/>
            <w:rFonts w:ascii="Times New Roman;serif" w:hAnsi="Times New Roman;serif"/>
            <w:b w:val="false"/>
            <w:color w:val="0000FF"/>
            <w:sz w:val="16"/>
            <w:u w:val="single"/>
          </w:rPr>
          <w:t>Note 22. Derivative financial instruments</w:t>
        </w:r>
      </w:hyperlink>
      <w:r>
        <w:rPr>
          <w:rFonts w:ascii="Times New Roman;serif" w:hAnsi="Times New Roman;serif"/>
          <w:b w:val="false"/>
          <w:color w:val="000000"/>
          <w:sz w:val="16"/>
        </w:rPr>
        <w:t>.</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(iii)Represented by net effects of foreign exchange results and the fair value losses of other assets. For the six-month period ended June 30, 2025, this line was mainly represented by net foreign exchange results arising from an intra-group loan denominated in U.S. dollars between subsidiaries located in Argentina and Malta, which was fully settled in September 2025 and therefore no longer impacts the current period. For further detail, refer to Note 25. Related Parties.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(iv)Finance costs associated with lease liabilities resulting from the application of IFRS 16 Leases.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(v)As required by IAS 29, Group’s Argentina and Ghana subsidiaries were considered hyperinflationary economies, due to the materiality, only the financial statements of the Group’s Argentina subsidiaries were restated to reflect the purchasing power of the hyperinflationary currency. Therefore, a loss on net monetary position was recognized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12. Income tax</w:t>
      </w:r>
    </w:p>
    <w:p>
      <w:pPr>
        <w:pStyle w:val="TextBody"/>
        <w:bidi w:val="0"/>
        <w:spacing w:lineRule="auto" w:line="288" w:before="200" w:after="200"/>
        <w:jc w:val="both"/>
        <w:rPr/>
      </w:pPr>
      <w:r>
        <w:rPr>
          <w:rFonts w:ascii="Times New Roman;serif" w:hAnsi="Times New Roman;serif"/>
          <w:b w:val="false"/>
          <w:color w:val="000000"/>
          <w:sz w:val="20"/>
        </w:rPr>
        <w:t>Income tax expense is recognized based on management’s estimate of the weighted average effective annual income tax rate expected for the full financial year. The estimated average income tax rate used for the six months ended June 30, 2026 is 20.4%, compared to 13.1% for the six months ended June 30, 2025. The effective income tax rate increase is explained by: (i) an increase in the results of subsidiaries located in countries where the income tax rate is higher; and (ii) the recognition of income tax expense related to adjustments on certain tax assessments for prior years, resulting in an income tax impact of US$5,2</w:t>
      </w:r>
      <w:r>
        <w:rPr>
          <w:rFonts w:ascii="Times New Roman;serif" w:hAnsi="Times New Roman;serif"/>
          <w:b w:val="false"/>
          <w:color w:val="000000"/>
          <w:sz w:val="20"/>
          <w:shd w:fill="FFFFFF" w:val="clear"/>
        </w:rPr>
        <w:t xml:space="preserve">96.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66750"/>
                <wp:effectExtent l="0" t="0" r="0" b="0"/>
                <wp:wrapNone/>
                <wp:docPr id="26" name="Frame25"/>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13</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income tax charge recognized in profit and loss is the following:</w:t>
      </w:r>
    </w:p>
    <w:tbl>
      <w:tblPr>
        <w:tblW w:w="9807" w:type="dxa"/>
        <w:jc w:val="left"/>
        <w:tblInd w:w="0" w:type="dxa"/>
        <w:tblLayout w:type="fixed"/>
        <w:tblCellMar>
          <w:top w:w="28" w:type="dxa"/>
          <w:left w:w="28" w:type="dxa"/>
          <w:bottom w:w="28" w:type="dxa"/>
          <w:right w:w="28" w:type="dxa"/>
        </w:tblCellMar>
      </w:tblPr>
      <w:tblGrid>
        <w:gridCol w:w="1363"/>
        <w:gridCol w:w="1194"/>
        <w:gridCol w:w="1207"/>
        <w:gridCol w:w="385"/>
        <w:gridCol w:w="385"/>
        <w:gridCol w:w="386"/>
        <w:gridCol w:w="165"/>
        <w:gridCol w:w="165"/>
        <w:gridCol w:w="165"/>
        <w:gridCol w:w="385"/>
        <w:gridCol w:w="385"/>
        <w:gridCol w:w="386"/>
        <w:gridCol w:w="109"/>
        <w:gridCol w:w="109"/>
        <w:gridCol w:w="109"/>
        <w:gridCol w:w="385"/>
        <w:gridCol w:w="385"/>
        <w:gridCol w:w="386"/>
        <w:gridCol w:w="184"/>
        <w:gridCol w:w="184"/>
        <w:gridCol w:w="184"/>
        <w:gridCol w:w="351"/>
        <w:gridCol w:w="351"/>
        <w:gridCol w:w="499"/>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Current income tax</w:t>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76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on profits for the period</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(17,969)</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(11,984)</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(2,886)</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(6,625)</w:t>
            </w:r>
          </w:p>
        </w:tc>
        <w:tc>
          <w:tcPr>
            <w:tcW w:w="499"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income tax expense (i)</w:t>
            </w:r>
          </w:p>
        </w:tc>
        <w:tc>
          <w:tcPr>
            <w:tcW w:w="77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(17,969)</w:t>
            </w:r>
          </w:p>
        </w:tc>
        <w:tc>
          <w:tcPr>
            <w:tcW w:w="38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(11,984)</w:t>
            </w:r>
          </w:p>
        </w:tc>
        <w:tc>
          <w:tcPr>
            <w:tcW w:w="38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(2,886)</w:t>
            </w:r>
          </w:p>
        </w:tc>
        <w:tc>
          <w:tcPr>
            <w:tcW w:w="38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(6,625)</w:t>
            </w:r>
          </w:p>
        </w:tc>
        <w:tc>
          <w:tcPr>
            <w:tcW w:w="499"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Deferred income tax</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76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(Decrease)/increase in deferred income tax assets</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(3,493)</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(6,078)</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499"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deferred income tax liabilities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(2,056)</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deferred income tax (expense)/benefit</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(6,853)</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(1,466)</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(7,327)</w:t>
            </w:r>
          </w:p>
        </w:tc>
        <w:tc>
          <w:tcPr>
            <w:tcW w:w="386"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(1,563)</w:t>
            </w:r>
          </w:p>
        </w:tc>
        <w:tc>
          <w:tcPr>
            <w:tcW w:w="499"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tax expense</w:t>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(24,822)</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(13,450)</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929292"/>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(10,213)</w:t>
            </w:r>
          </w:p>
        </w:tc>
        <w:tc>
          <w:tcPr>
            <w:tcW w:w="386" w:type="dxa"/>
            <w:tcBorders>
              <w:top w:val="double" w:sz="8" w:space="0" w:color="929292"/>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double" w:sz="8" w:space="0" w:color="929292"/>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(8,188)</w:t>
            </w:r>
          </w:p>
        </w:tc>
        <w:tc>
          <w:tcPr>
            <w:tcW w:w="499" w:type="dxa"/>
            <w:tcBorders>
              <w:top w:val="double" w:sz="8" w:space="0" w:color="929292"/>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 Includes US$5.296 related to income tax (and related interest) as mentioned in the </w:t>
      </w:r>
      <w:hyperlink w:anchor="i9a6b03a630d54d2f9a50f30fac056880_40">
        <w:r>
          <w:rPr>
            <w:rStyle w:val="InternetLink"/>
            <w:rFonts w:ascii="Times New Roman;serif" w:hAnsi="Times New Roman;serif"/>
            <w:b w:val="false"/>
            <w:color w:val="0000FF"/>
            <w:sz w:val="16"/>
            <w:u w:val="single"/>
          </w:rPr>
          <w:t>Note 8. Sales and marketing expenses and General and administrative expenses</w:t>
        </w:r>
      </w:hyperlink>
      <w:r>
        <w:rPr>
          <w:rFonts w:ascii="Times New Roman;serif" w:hAnsi="Times New Roman;serif"/>
          <w:b w:val="false"/>
          <w:color w:val="000000"/>
          <w:sz w:val="16"/>
        </w:rPr>
        <w:t>, footnote (v).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13. Share-based payments</w:t>
      </w:r>
    </w:p>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During the six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Group granted new restricted share units under the Amended and Restated 2020 Global Share Incentive Plan to executives and employees in return for their services, which represented changes in the composition of share options outstanding at the end of the period.</w:t>
      </w:r>
    </w:p>
    <w:p>
      <w:pPr>
        <w:pStyle w:val="TextBody"/>
        <w:bidi w:val="0"/>
        <w:spacing w:lineRule="auto" w:line="288" w:before="20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Set out below are summaries of restricted share units and share options granted under the plan:</w:t>
      </w:r>
    </w:p>
    <w:tbl>
      <w:tblPr>
        <w:tblW w:w="10205" w:type="dxa"/>
        <w:jc w:val="left"/>
        <w:tblInd w:w="0" w:type="dxa"/>
        <w:tblLayout w:type="fixed"/>
        <w:tblCellMar>
          <w:top w:w="28" w:type="dxa"/>
          <w:left w:w="28" w:type="dxa"/>
          <w:bottom w:w="28" w:type="dxa"/>
          <w:right w:w="28" w:type="dxa"/>
        </w:tblCellMar>
      </w:tblPr>
      <w:tblGrid>
        <w:gridCol w:w="749"/>
        <w:gridCol w:w="625"/>
        <w:gridCol w:w="628"/>
        <w:gridCol w:w="109"/>
        <w:gridCol w:w="109"/>
        <w:gridCol w:w="109"/>
        <w:gridCol w:w="560"/>
        <w:gridCol w:w="520"/>
        <w:gridCol w:w="521"/>
        <w:gridCol w:w="116"/>
        <w:gridCol w:w="116"/>
        <w:gridCol w:w="116"/>
        <w:gridCol w:w="611"/>
        <w:gridCol w:w="565"/>
        <w:gridCol w:w="567"/>
        <w:gridCol w:w="109"/>
        <w:gridCol w:w="109"/>
        <w:gridCol w:w="109"/>
        <w:gridCol w:w="560"/>
        <w:gridCol w:w="520"/>
        <w:gridCol w:w="521"/>
        <w:gridCol w:w="141"/>
        <w:gridCol w:w="141"/>
        <w:gridCol w:w="141"/>
        <w:gridCol w:w="582"/>
        <w:gridCol w:w="499"/>
        <w:gridCol w:w="752"/>
      </w:tblGrid>
      <w:tr>
        <w:trPr/>
        <w:tc>
          <w:tcPr>
            <w:tcW w:w="74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Average exercise price (U.S. Dollars)</w:t>
            </w:r>
          </w:p>
        </w:tc>
        <w:tc>
          <w:tcPr>
            <w:tcW w:w="348"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options and RSUs and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Average exercise price (U.S. Dollars)</w:t>
            </w:r>
          </w:p>
        </w:tc>
        <w:tc>
          <w:tcPr>
            <w:tcW w:w="423" w:type="dxa"/>
            <w:gridSpan w:val="3"/>
            <w:tcBorders>
              <w:top w:val="sing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options and RSUs and PSUs</w:t>
            </w:r>
          </w:p>
        </w:tc>
      </w:tr>
      <w:tr>
        <w:trPr/>
        <w:tc>
          <w:tcPr>
            <w:tcW w:w="20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the beginning of the period</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3.73</w:t>
            </w:r>
            <w:r>
              <w:rPr>
                <w:color w:val="494949"/>
              </w:rPr>
              <w:t> </w:t>
            </w:r>
          </w:p>
        </w:tc>
        <w:tc>
          <w:tcPr>
            <w:tcW w:w="52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7,641,161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5.32</w:t>
            </w:r>
            <w:r>
              <w:rPr>
                <w:color w:val="494949"/>
              </w:rPr>
              <w:t> </w:t>
            </w:r>
          </w:p>
        </w:tc>
        <w:tc>
          <w:tcPr>
            <w:tcW w:w="52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7,507,841</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1,905,684</w:t>
            </w:r>
          </w:p>
        </w:tc>
      </w:tr>
      <w:tr>
        <w:trPr/>
        <w:tc>
          <w:tcPr>
            <w:tcW w:w="20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during the period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0.168 </w:t>
            </w:r>
          </w:p>
        </w:tc>
        <w:tc>
          <w:tcPr>
            <w:tcW w:w="5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(286,145)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5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(1,299,314)</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(473,050)</w:t>
            </w:r>
          </w:p>
        </w:tc>
      </w:tr>
      <w:tr>
        <w:trPr/>
        <w:tc>
          <w:tcPr>
            <w:tcW w:w="20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At the end of the period</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3.56</w:t>
            </w:r>
            <w:r>
              <w:rPr>
                <w:color w:val="494949"/>
              </w:rPr>
              <w:t> </w:t>
            </w:r>
          </w:p>
        </w:tc>
        <w:tc>
          <w:tcPr>
            <w:tcW w:w="52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7,999,151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3.73</w:t>
            </w:r>
            <w:r>
              <w:rPr>
                <w:color w:val="494949"/>
              </w:rPr>
              <w:t> </w:t>
            </w:r>
          </w:p>
        </w:tc>
        <w:tc>
          <w:tcPr>
            <w:tcW w:w="52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7,641,161</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Vested and exercisable at the end of the period</w:t>
            </w:r>
          </w:p>
        </w:tc>
        <w:tc>
          <w:tcPr>
            <w:tcW w:w="327" w:type="dxa"/>
            <w:gridSpan w:val="3"/>
            <w:tcBorders>
              <w:top w:val="single" w:sz="8" w:space="0" w:color="6D6D6D"/>
              <w:bottom w:val="double" w:sz="8" w:space="0" w:color="6D6D6D"/>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6.68</w:t>
            </w:r>
            <w:r>
              <w:rPr>
                <w:color w:val="494949"/>
              </w:rPr>
              <w:t> </w:t>
            </w:r>
          </w:p>
        </w:tc>
        <w:tc>
          <w:tcPr>
            <w:tcW w:w="52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2,471,337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7.84</w:t>
            </w:r>
            <w:r>
              <w:rPr>
                <w:color w:val="494949"/>
              </w:rPr>
              <w:t> </w:t>
            </w:r>
          </w:p>
        </w:tc>
        <w:tc>
          <w:tcPr>
            <w:tcW w:w="52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1,652,474</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No options expired during the periods covered by the above table.</w:t>
      </w:r>
    </w:p>
    <w:p>
      <w:pPr>
        <w:pStyle w:val="TextBody"/>
        <w:bidi w:val="0"/>
        <w:spacing w:lineRule="auto" w:line="288" w:before="20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June 30, 2026, the Group has 180,000 Performance Share Units (“PSUs”), 5,974,387 Restricted Stock Units (RSUs), and 1,844,760 Stock Options outstanding. </w:t>
      </w:r>
    </w:p>
    <w:p>
      <w:pPr>
        <w:pStyle w:val="TextBody"/>
        <w:bidi w:val="0"/>
        <w:spacing w:lineRule="auto" w:line="288" w:before="200" w:after="200"/>
        <w:jc w:val="both"/>
        <w:rPr/>
      </w:pPr>
      <w:r>
        <w:rPr>
          <w:rFonts w:ascii="Times New Roman;serif" w:hAnsi="Times New Roman;serif"/>
          <w:b w:val="false"/>
          <w:color w:val="000000"/>
          <w:sz w:val="20"/>
          <w:shd w:fill="FFFFFF" w:val="clear"/>
        </w:rPr>
        <w:t>For the six months ended June 30, 2026, total compensation expense of the plans was U</w:t>
      </w:r>
      <w:r>
        <w:rPr>
          <w:rFonts w:ascii="Times New Roman;serif" w:hAnsi="Times New Roman;serif"/>
          <w:b w:val="false"/>
          <w:color w:val="000000"/>
          <w:sz w:val="20"/>
        </w:rPr>
        <w:t>S$12,555</w:t>
      </w:r>
      <w:r>
        <w:rPr>
          <w:color w:val="000000"/>
          <w:shd w:fill="FFFFFF" w:val="clear"/>
        </w:rPr>
        <w:t xml:space="preserve"> </w:t>
      </w:r>
      <w:r>
        <w:rPr>
          <w:rFonts w:ascii="Times New Roman;serif" w:hAnsi="Times New Roman;serif"/>
          <w:b w:val="false"/>
          <w:color w:val="000000"/>
          <w:sz w:val="20"/>
          <w:shd w:fill="FFFFFF" w:val="clear"/>
        </w:rPr>
        <w:t>(for the six months ended June 30, 2025 US$</w:t>
      </w:r>
      <w:r>
        <w:rPr>
          <w:rFonts w:ascii="Times New Roman;serif" w:hAnsi="Times New Roman;serif"/>
          <w:b w:val="false"/>
          <w:color w:val="000000"/>
          <w:sz w:val="20"/>
        </w:rPr>
        <w:t>10,931</w:t>
      </w:r>
      <w:r>
        <w:rPr>
          <w:rFonts w:ascii="Times New Roman;serif" w:hAnsi="Times New Roman;serif"/>
          <w:b w:val="false"/>
          <w:color w:val="000000"/>
          <w:sz w:val="20"/>
          <w:shd w:fill="FFFFFF" w:val="clear"/>
        </w:rPr>
        <w:t xml:space="preserve">) as presented in </w:t>
      </w:r>
      <w:hyperlink w:anchor="i9a6b03a630d54d2f9a50f30fac056880_43">
        <w:r>
          <w:rPr>
            <w:rStyle w:val="InternetLink"/>
            <w:rFonts w:ascii="Times New Roman;serif" w:hAnsi="Times New Roman;serif"/>
            <w:b w:val="false"/>
            <w:color w:val="0000FF"/>
            <w:sz w:val="20"/>
            <w:u w:val="single"/>
            <w:shd w:fill="FFFFFF" w:val="clear"/>
          </w:rPr>
          <w:t>Note 9. Employee Benefits</w:t>
        </w:r>
      </w:hyperlink>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14. Capital management</w:t>
      </w:r>
    </w:p>
    <w:p>
      <w:pPr>
        <w:pStyle w:val="TextBody"/>
        <w:bidi w:val="0"/>
        <w:spacing w:lineRule="auto" w:line="288" w:before="200" w:after="20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(a)Share capital</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At the date of this interim report, the total authorized share capital of the Group was US$3,000,000 divided into 1,500,000,000 shares par value US$0.002 each, of which:</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1,000,000,000 shares are designated as Class A common shares (“Class A Common Shares”);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250,000,000 shares are designated as Class B common shares (“Class B Common Shares”).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remaining 250,000,000 authorized but unissued shares are presently undesignated and may be issued by our board of directors as common shares of any class or as shares with preferred, deferred or other special rights or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66750"/>
                <wp:effectExtent l="0" t="0" r="0" b="0"/>
                <wp:wrapNone/>
                <wp:docPr id="27" name="Frame26"/>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14</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rights of the holders of Class A Common Shares and Class B Common Shares are identical, except with respect to voting, conversion and transfer restrictions applicable to the Class B Common Shares. Each Class A Common Share is entitled to one vote while Class B Common Shares are entitled to five votes each. Each Class B Common Share is convertible into one Class A Common Share automatically upon transfer, subject to certain exceptions. Holders of Class A Common Shares and Class B Common Shares vote together as a single class on all matters unless otherwise required by law.</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Authorized shares, as well as issued and fully paid-up shares, are presented below:</w:t>
      </w:r>
    </w:p>
    <w:tbl>
      <w:tblPr>
        <w:tblW w:w="9189" w:type="dxa"/>
        <w:jc w:val="left"/>
        <w:tblInd w:w="0" w:type="dxa"/>
        <w:tblLayout w:type="fixed"/>
        <w:tblCellMar>
          <w:top w:w="28" w:type="dxa"/>
          <w:left w:w="28" w:type="dxa"/>
          <w:bottom w:w="28" w:type="dxa"/>
          <w:right w:w="28" w:type="dxa"/>
        </w:tblCellMar>
      </w:tblPr>
      <w:tblGrid>
        <w:gridCol w:w="1414"/>
        <w:gridCol w:w="1247"/>
        <w:gridCol w:w="1253"/>
        <w:gridCol w:w="109"/>
        <w:gridCol w:w="109"/>
        <w:gridCol w:w="109"/>
        <w:gridCol w:w="532"/>
        <w:gridCol w:w="534"/>
        <w:gridCol w:w="251"/>
        <w:gridCol w:w="128"/>
        <w:gridCol w:w="128"/>
        <w:gridCol w:w="128"/>
        <w:gridCol w:w="217"/>
        <w:gridCol w:w="219"/>
        <w:gridCol w:w="148"/>
        <w:gridCol w:w="109"/>
        <w:gridCol w:w="109"/>
        <w:gridCol w:w="109"/>
        <w:gridCol w:w="532"/>
        <w:gridCol w:w="534"/>
        <w:gridCol w:w="251"/>
        <w:gridCol w:w="127"/>
        <w:gridCol w:w="127"/>
        <w:gridCol w:w="127"/>
        <w:gridCol w:w="217"/>
        <w:gridCol w:w="219"/>
        <w:gridCol w:w="202"/>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8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81"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Issued and fully paid up shares of US$0.002 each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172,183,455 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164,649,324 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2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116,233,376 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129,054,192 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288,416,831</w:t>
            </w:r>
            <w:r>
              <w:rPr>
                <w:color w:val="494949"/>
              </w:rPr>
              <w:t> </w:t>
            </w:r>
          </w:p>
        </w:tc>
        <w:tc>
          <w:tcPr>
            <w:tcW w:w="25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576</w:t>
            </w:r>
            <w:r>
              <w:rPr>
                <w:color w:val="494949"/>
              </w:rPr>
              <w:t> </w:t>
            </w:r>
          </w:p>
        </w:tc>
        <w:tc>
          <w:tcPr>
            <w:tcW w:w="14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293,703,516</w:t>
            </w:r>
            <w:r>
              <w:rPr>
                <w:color w:val="494949"/>
              </w:rPr>
              <w:t> </w:t>
            </w:r>
          </w:p>
        </w:tc>
        <w:tc>
          <w:tcPr>
            <w:tcW w:w="25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587</w:t>
            </w:r>
            <w:r>
              <w:rPr>
                <w:color w:val="494949"/>
              </w:rPr>
              <w:t> </w:t>
            </w:r>
          </w:p>
        </w:tc>
        <w:tc>
          <w:tcPr>
            <w:tcW w:w="20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 capital evolution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capital as of January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294,931,956 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285,475,136 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2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 Issue of common shares at US$0.002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372,690 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260,099 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ii) Shares cancellation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(6,887,815)</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iii) Warrant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7,968,281 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 capital as of June 30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288,416,831</w:t>
            </w:r>
            <w:r>
              <w:rPr>
                <w:color w:val="494949"/>
              </w:rPr>
              <w:t> </w:t>
            </w:r>
          </w:p>
        </w:tc>
        <w:tc>
          <w:tcPr>
            <w:tcW w:w="25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576</w:t>
            </w:r>
            <w:r>
              <w:rPr>
                <w:color w:val="494949"/>
              </w:rPr>
              <w:t> </w:t>
            </w:r>
          </w:p>
        </w:tc>
        <w:tc>
          <w:tcPr>
            <w:tcW w:w="148"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293,703,516</w:t>
            </w:r>
            <w:r>
              <w:rPr>
                <w:color w:val="494949"/>
              </w:rPr>
              <w:t> </w:t>
            </w:r>
          </w:p>
        </w:tc>
        <w:tc>
          <w:tcPr>
            <w:tcW w:w="25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587</w:t>
            </w:r>
            <w:r>
              <w:rPr>
                <w:color w:val="494949"/>
              </w:rPr>
              <w:t> </w:t>
            </w:r>
          </w:p>
        </w:tc>
        <w:tc>
          <w:tcPr>
            <w:tcW w:w="202"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Comprises 6,887,815 Class A common shares repurchased and cancelled under the Company's share repurchase program (refer to Note (c) Treasury Shares below).</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b) Share premium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dLocal issued 372,690 and 260,099 new Class A Common Shares receiving total proceeds of US$257 and US$940, respectively, related to the vesting of restricted stock units and the exercise of share-options.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(c) Treasury Shares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March 13, 2026, the Company's Board of Directors authorized a new share repurchase program to purchase up to US$300 million of Class A common shares, expiring at the earliest of March 19, 2027 or upon reaching the US$300 million repurchase limit. The same resolution authorized the cancellation of the shares repurchased under the program.</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During the six-month period ended June 30, 2026, the Company repurchased 6,887,815 Class A common shares at an average price of US$12.49 per share, amounting to a total consideration of US$86,062. The repurchased shares were held as treasury shares and accounted for at cost.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All 6,887,815 shares repurchased under the program were cancelled during the period. The total amount of US$86,062 related to these shares was deducted for an amount of US$7,097 from Share Premium until it was fully utilized, and the remaining US$78,965 was charged to Retained Earnings. As of June 30, 2026, the Company held no treasury shares in respect of this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66750"/>
                <wp:effectExtent l="0" t="0" r="0" b="0"/>
                <wp:wrapNone/>
                <wp:docPr id="28" name="Frame27"/>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15</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(d) Capital reserve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Capital reserve corresponds to reserves related to the share-based plans, as described in Note 13. Share-based payments and warrants to the Annual Financial Statements for the year ended December 31, 2025. As of June 30, 2026, the movement in the Capital reserve was US$12,812 which is comprised of US$12,555 increase related to share-based expenses and US$257 decrease related to exercise and vesting of shares per the share-based plan.</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(e) Other Reserves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reserves for the Group relate to cumulative translation adjustment representing differences on conversion of assets and liabilities at the reporting date.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(f) Earnings per share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calculated by dividing net income for the period attributed to the owners of the parent by the weighted average number of ordinary shares outstanding during the period.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is calculated by dividing net income attributable to owners of the Company by the weighted average number of shares outstanding during the year plus the weighted average number of shares that would be issued on conversion of all dilutive potential shares into shares by applying the treasury stock method. The shares in the share-based plan are the only shares with potential dilutive effect.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net income applicable to the owners of the parent and basic and diluted EPS for the six months period ended of June 30:</w:t>
      </w:r>
    </w:p>
    <w:tbl>
      <w:tblPr>
        <w:tblW w:w="10205" w:type="dxa"/>
        <w:jc w:val="left"/>
        <w:tblInd w:w="0" w:type="dxa"/>
        <w:tblLayout w:type="fixed"/>
        <w:tblCellMar>
          <w:top w:w="28" w:type="dxa"/>
          <w:left w:w="28" w:type="dxa"/>
          <w:bottom w:w="28" w:type="dxa"/>
          <w:right w:w="28" w:type="dxa"/>
        </w:tblCellMar>
      </w:tblPr>
      <w:tblGrid>
        <w:gridCol w:w="1049"/>
        <w:gridCol w:w="921"/>
        <w:gridCol w:w="924"/>
        <w:gridCol w:w="109"/>
        <w:gridCol w:w="109"/>
        <w:gridCol w:w="109"/>
        <w:gridCol w:w="524"/>
        <w:gridCol w:w="527"/>
        <w:gridCol w:w="386"/>
        <w:gridCol w:w="129"/>
        <w:gridCol w:w="129"/>
        <w:gridCol w:w="129"/>
        <w:gridCol w:w="524"/>
        <w:gridCol w:w="527"/>
        <w:gridCol w:w="386"/>
        <w:gridCol w:w="109"/>
        <w:gridCol w:w="109"/>
        <w:gridCol w:w="109"/>
        <w:gridCol w:w="524"/>
        <w:gridCol w:w="527"/>
        <w:gridCol w:w="386"/>
        <w:gridCol w:w="136"/>
        <w:gridCol w:w="136"/>
        <w:gridCol w:w="136"/>
        <w:gridCol w:w="524"/>
        <w:gridCol w:w="527"/>
        <w:gridCol w:w="500"/>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8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Profit attributable to common shareholders (U.S. Dollars)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96,612,862 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89,439,548 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54,638,314 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42,810,218 </w:t>
            </w:r>
          </w:p>
        </w:tc>
        <w:tc>
          <w:tcPr>
            <w:tcW w:w="50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289,338,549 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287,565,062 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288,040,785 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289,578,429 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for calculation of diluted earnings per share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7,648,593 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13,463,085 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7,832,325 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11,543,051 </w:t>
            </w:r>
          </w:p>
        </w:tc>
        <w:tc>
          <w:tcPr>
            <w:tcW w:w="50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common shares for calculating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296,987,141 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301,028,147 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295,873,110 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301,121,480 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50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50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(1)For the six months ended June 30, 2026, the adjustment corresponds to the dilutive effect of 7,648,593 average shares related to share-based payment plans with employees. For the six months ended June 30, 2025, the adjustment corresponds to: i) 6,073,435 average shares related to share-based payment warrants; and ii) 7,389,650 average shares related to share-based payment plans with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15. Cash and cash equivalents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Cash and cash equivalents breakdown is presented below:</w:t>
      </w:r>
    </w:p>
    <w:tbl>
      <w:tblPr>
        <w:tblW w:w="6480"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384"/>
        <w:gridCol w:w="384"/>
        <w:gridCol w:w="386"/>
        <w:gridCol w:w="109"/>
        <w:gridCol w:w="109"/>
        <w:gridCol w:w="109"/>
        <w:gridCol w:w="465"/>
        <w:gridCol w:w="465"/>
        <w:gridCol w:w="66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369,088 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424,498 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cash and cash equivalents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425,855 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295,399 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794,943</w:t>
            </w:r>
            <w:r>
              <w:rPr>
                <w:color w:val="494949"/>
              </w:rPr>
              <w:t> </w:t>
            </w:r>
          </w:p>
        </w:tc>
        <w:tc>
          <w:tcPr>
            <w:tcW w:w="38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719,897</w:t>
            </w:r>
            <w:r>
              <w:rPr>
                <w:color w:val="494949"/>
              </w:rPr>
              <w:t> </w:t>
            </w:r>
          </w:p>
        </w:tc>
        <w:tc>
          <w:tcPr>
            <w:tcW w:w="66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US$794,943 (US$719,897 on December 31, 2025) represents cash on hand, demand deposits and other short-term liquid financial instruments.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(i)Merchant cash and cash equivalents includes freely available funds which belong to the merchants or their customers but are held by the Company.</w:t>
      </w:r>
    </w:p>
    <w:p>
      <w:pPr>
        <w:pStyle w:val="TextBody"/>
        <w:bidi w:val="0"/>
        <w:spacing w:before="0" w:after="40"/>
        <w:ind w:left="0" w:right="0" w:hanging="360"/>
        <w:jc w:val="both"/>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15.1 Non-cash transactions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detail of significant non-cash transactions occurred in the six-period ended on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66750"/>
                <wp:effectExtent l="0" t="0" r="0" b="0"/>
                <wp:wrapNone/>
                <wp:docPr id="29" name="Frame28"/>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16</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176" w:type="dxa"/>
        <w:jc w:val="left"/>
        <w:tblInd w:w="0" w:type="dxa"/>
        <w:tblLayout w:type="fixed"/>
        <w:tblCellMar>
          <w:top w:w="28" w:type="dxa"/>
          <w:left w:w="28" w:type="dxa"/>
          <w:bottom w:w="28" w:type="dxa"/>
          <w:right w:w="28" w:type="dxa"/>
        </w:tblCellMar>
      </w:tblPr>
      <w:tblGrid>
        <w:gridCol w:w="2232"/>
        <w:gridCol w:w="1963"/>
        <w:gridCol w:w="1970"/>
        <w:gridCol w:w="109"/>
        <w:gridCol w:w="109"/>
        <w:gridCol w:w="109"/>
        <w:gridCol w:w="385"/>
        <w:gridCol w:w="385"/>
        <w:gridCol w:w="386"/>
        <w:gridCol w:w="109"/>
        <w:gridCol w:w="109"/>
        <w:gridCol w:w="109"/>
        <w:gridCol w:w="351"/>
        <w:gridCol w:w="351"/>
        <w:gridCol w:w="499"/>
      </w:tblGrid>
      <w:tr>
        <w:trPr/>
        <w:tc>
          <w:tcPr>
            <w:tcW w:w="223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616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and Goodwill acquired through a decrease in other assets at FVPL (i)</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23,742 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9"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 Refer to note 27.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66750"/>
                <wp:effectExtent l="0" t="0" r="0" b="0"/>
                <wp:wrapNone/>
                <wp:docPr id="30" name="Frame29"/>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17</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16. Financial assets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(a)Classification of financial assets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assets include the following: </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 at Fair Value through Profit or Loss:</w:t>
      </w:r>
    </w:p>
    <w:tbl>
      <w:tblPr>
        <w:tblW w:w="10205" w:type="dxa"/>
        <w:jc w:val="left"/>
        <w:tblInd w:w="0" w:type="dxa"/>
        <w:tblLayout w:type="fixed"/>
        <w:tblCellMar>
          <w:top w:w="28" w:type="dxa"/>
          <w:left w:w="28" w:type="dxa"/>
          <w:bottom w:w="28" w:type="dxa"/>
          <w:right w:w="28" w:type="dxa"/>
        </w:tblCellMar>
      </w:tblPr>
      <w:tblGrid>
        <w:gridCol w:w="558"/>
        <w:gridCol w:w="490"/>
        <w:gridCol w:w="493"/>
        <w:gridCol w:w="109"/>
        <w:gridCol w:w="109"/>
        <w:gridCol w:w="109"/>
        <w:gridCol w:w="285"/>
        <w:gridCol w:w="285"/>
        <w:gridCol w:w="286"/>
        <w:gridCol w:w="109"/>
        <w:gridCol w:w="109"/>
        <w:gridCol w:w="109"/>
        <w:gridCol w:w="109"/>
        <w:gridCol w:w="109"/>
        <w:gridCol w:w="109"/>
        <w:gridCol w:w="334"/>
        <w:gridCol w:w="334"/>
        <w:gridCol w:w="335"/>
        <w:gridCol w:w="109"/>
        <w:gridCol w:w="109"/>
        <w:gridCol w:w="109"/>
        <w:gridCol w:w="363"/>
        <w:gridCol w:w="363"/>
        <w:gridCol w:w="364"/>
        <w:gridCol w:w="109"/>
        <w:gridCol w:w="109"/>
        <w:gridCol w:w="109"/>
        <w:gridCol w:w="292"/>
        <w:gridCol w:w="292"/>
        <w:gridCol w:w="293"/>
        <w:gridCol w:w="109"/>
        <w:gridCol w:w="109"/>
        <w:gridCol w:w="109"/>
        <w:gridCol w:w="362"/>
        <w:gridCol w:w="324"/>
        <w:gridCol w:w="326"/>
        <w:gridCol w:w="109"/>
        <w:gridCol w:w="109"/>
        <w:gridCol w:w="109"/>
        <w:gridCol w:w="447"/>
        <w:gridCol w:w="447"/>
        <w:gridCol w:w="643"/>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Linked 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 (i)</w:t>
            </w:r>
          </w:p>
        </w:tc>
      </w:tr>
      <w:tr>
        <w:trPr/>
        <w:tc>
          <w:tcPr>
            <w:tcW w:w="1541"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 Treasury Notes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D16E6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A5A5A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Jan-26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Dollar linked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A5A5A5"/>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643" w:type="dxa"/>
            <w:tcBorders>
              <w:top w:val="single" w:sz="8" w:space="0" w:color="A5A5A5"/>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Brazil 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Selic + 0.08%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lineRule="auto" w:line="288" w:before="0" w:after="283"/>
              <w:jc w:val="right"/>
              <w:rPr>
                <w:color w:val="494949"/>
              </w:rPr>
            </w:pPr>
            <w:r>
              <w:rPr>
                <w:color w:val="494949"/>
              </w:rPr>
              <w:t>— </w:t>
            </w:r>
          </w:p>
        </w:tc>
        <w:tc>
          <w:tcPr>
            <w:tcW w:w="326" w:type="dxa"/>
            <w:tcBorders>
              <w:top w:val="sing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10,896</w:t>
            </w:r>
            <w:r>
              <w:rPr>
                <w:color w:val="494949"/>
              </w:rPr>
              <w:t> </w:t>
            </w:r>
          </w:p>
        </w:tc>
        <w:tc>
          <w:tcPr>
            <w:tcW w:w="643" w:type="dxa"/>
            <w:tcBorders>
              <w:top w:val="sing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*Stabilization Reference Coefficient adjusted by inflation</w:t>
      </w:r>
    </w:p>
    <w:p>
      <w:pPr>
        <w:pStyle w:val="TextBody"/>
        <w:bidi w:val="0"/>
        <w:spacing w:lineRule="auto" w:line="288" w:before="12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 at Amortized Cost:</w:t>
      </w:r>
    </w:p>
    <w:tbl>
      <w:tblPr>
        <w:tblW w:w="10205"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443"/>
        <w:gridCol w:w="443"/>
        <w:gridCol w:w="450"/>
        <w:gridCol w:w="109"/>
        <w:gridCol w:w="109"/>
        <w:gridCol w:w="109"/>
        <w:gridCol w:w="109"/>
        <w:gridCol w:w="330"/>
        <w:gridCol w:w="330"/>
        <w:gridCol w:w="332"/>
        <w:gridCol w:w="109"/>
        <w:gridCol w:w="109"/>
        <w:gridCol w:w="109"/>
        <w:gridCol w:w="356"/>
        <w:gridCol w:w="356"/>
        <w:gridCol w:w="358"/>
        <w:gridCol w:w="109"/>
        <w:gridCol w:w="109"/>
        <w:gridCol w:w="109"/>
        <w:gridCol w:w="288"/>
        <w:gridCol w:w="288"/>
        <w:gridCol w:w="290"/>
        <w:gridCol w:w="109"/>
        <w:gridCol w:w="109"/>
        <w:gridCol w:w="109"/>
        <w:gridCol w:w="439"/>
        <w:gridCol w:w="337"/>
        <w:gridCol w:w="310"/>
        <w:gridCol w:w="109"/>
        <w:gridCol w:w="109"/>
        <w:gridCol w:w="109"/>
        <w:gridCol w:w="435"/>
        <w:gridCol w:w="435"/>
        <w:gridCol w:w="62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Linked 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2025(i)</w:t>
            </w:r>
          </w:p>
        </w:tc>
      </w:tr>
      <w:tr>
        <w:trPr/>
        <w:tc>
          <w:tcPr>
            <w:tcW w:w="1290"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US912797RU32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Feb-26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top w:val="single" w:sz="8" w:space="0" w:color="A5A5A5"/>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A5A5A5"/>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16,759 </w:t>
            </w:r>
          </w:p>
        </w:tc>
        <w:tc>
          <w:tcPr>
            <w:tcW w:w="624" w:type="dxa"/>
            <w:tcBorders>
              <w:top w:val="single" w:sz="8" w:space="0" w:color="A5A5A5"/>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US912797QN08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May-26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48,244 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US912797QX89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7,563 </w:t>
            </w:r>
          </w:p>
        </w:tc>
        <w:tc>
          <w:tcPr>
            <w:tcW w:w="6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US912797SW88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May-26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7,563 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US912797RF64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3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7,563 </w:t>
            </w:r>
          </w:p>
        </w:tc>
        <w:tc>
          <w:tcPr>
            <w:tcW w:w="6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US912797RG48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Aug-26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US912797SA68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6,680 </w:t>
            </w:r>
          </w:p>
        </w:tc>
        <w:tc>
          <w:tcPr>
            <w:tcW w:w="3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US912797SK41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US912797SU23</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6,542 </w:t>
            </w:r>
          </w:p>
        </w:tc>
        <w:tc>
          <w:tcPr>
            <w:tcW w:w="3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US912797TC16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US912797TF47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4,822 </w:t>
            </w:r>
          </w:p>
        </w:tc>
        <w:tc>
          <w:tcPr>
            <w:tcW w:w="3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US912797TP29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US912797TQ02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Jul-26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3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US912797UG01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Sep-26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US912797UJ40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Oct-26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6,680 </w:t>
            </w:r>
          </w:p>
        </w:tc>
        <w:tc>
          <w:tcPr>
            <w:tcW w:w="3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US912797TC16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Banco Diners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C049001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Nov-26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3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62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A5A5A5"/>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79,214</w:t>
            </w:r>
            <w:r>
              <w:rPr>
                <w:color w:val="494949"/>
              </w:rPr>
              <w:t> </w:t>
            </w:r>
          </w:p>
        </w:tc>
        <w:tc>
          <w:tcPr>
            <w:tcW w:w="310" w:type="dxa"/>
            <w:tcBorders>
              <w:top w:val="single" w:sz="8" w:space="0" w:color="A5A5A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A5A5A5"/>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88,193</w:t>
            </w:r>
            <w:r>
              <w:rPr>
                <w:color w:val="494949"/>
              </w:rPr>
              <w:t> </w:t>
            </w:r>
          </w:p>
        </w:tc>
        <w:tc>
          <w:tcPr>
            <w:tcW w:w="624" w:type="dxa"/>
            <w:tcBorders>
              <w:top w:val="single" w:sz="8" w:space="0" w:color="A5A5A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doub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79,214</w:t>
            </w:r>
            <w:r>
              <w:rPr>
                <w:color w:val="494949"/>
              </w:rPr>
              <w:t> </w:t>
            </w:r>
          </w:p>
        </w:tc>
        <w:tc>
          <w:tcPr>
            <w:tcW w:w="310" w:type="dxa"/>
            <w:tcBorders>
              <w:top w:val="doub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99,089</w:t>
            </w:r>
            <w:r>
              <w:rPr>
                <w:color w:val="494949"/>
              </w:rPr>
              <w:t> </w:t>
            </w:r>
          </w:p>
        </w:tc>
        <w:tc>
          <w:tcPr>
            <w:tcW w:w="624" w:type="dxa"/>
            <w:tcBorders>
              <w:top w:val="double" w:sz="8" w:space="0" w:color="A5A5A5"/>
              <w:bottom w:val="double" w:sz="8" w:space="0" w:color="A5A5A5"/>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 As of June 30, 2026 and December 31, 2025, certain financial assets with a carrying amount of US$59,267 and US$74,478, respectively, were held as security for the borrowings detailed in </w:t>
      </w:r>
      <w:hyperlink w:anchor="i9a6b03a630d54d2f9a50f30fac056880_85">
        <w:r>
          <w:rPr>
            <w:rStyle w:val="InternetLink"/>
            <w:rFonts w:ascii="Times New Roman;serif" w:hAnsi="Times New Roman;serif"/>
            <w:b w:val="false"/>
            <w:color w:val="0000FF"/>
            <w:sz w:val="16"/>
            <w:u w:val="single"/>
          </w:rPr>
          <w:t>Note 23. Financial liabilities.</w:t>
        </w:r>
      </w:hyperlink>
    </w:p>
    <w:p>
      <w:pPr>
        <w:pStyle w:val="TextBody"/>
        <w:bidi w:val="0"/>
        <w:spacing w:before="0" w:after="40"/>
        <w:ind w:left="0" w:right="0" w:hanging="360"/>
        <w:jc w:val="both"/>
        <w:rPr/>
      </w:pPr>
      <w:r>
        <w:rPr/>
      </w:r>
    </w:p>
    <w:p>
      <w:pPr>
        <w:pStyle w:val="TextBody"/>
        <w:bidi w:val="0"/>
        <w:spacing w:lineRule="auto" w:line="288" w:before="120" w:after="120"/>
        <w:ind w:left="0" w:right="0" w:hanging="490"/>
        <w:jc w:val="left"/>
        <w:rPr>
          <w:rFonts w:ascii="Times New Roman;serif" w:hAnsi="Times New Roman;serif"/>
          <w:b w:val="false"/>
          <w:i/>
          <w:color w:val="000000"/>
          <w:sz w:val="20"/>
        </w:rPr>
      </w:pPr>
      <w:r>
        <w:rPr>
          <w:rFonts w:ascii="Times New Roman;serif" w:hAnsi="Times New Roman;serif"/>
          <w:b w:val="false"/>
          <w:i/>
          <w:color w:val="000000"/>
          <w:sz w:val="20"/>
        </w:rPr>
        <w:t xml:space="preserve">(b)Amounts recognized in profit or loss </w:t>
      </w:r>
    </w:p>
    <w:p>
      <w:pPr>
        <w:pStyle w:val="TextBody"/>
        <w:bidi w:val="0"/>
        <w:spacing w:lineRule="auto" w:line="288" w:before="200" w:after="200"/>
        <w:jc w:val="both"/>
        <w:rPr/>
      </w:pPr>
      <w:r>
        <w:rPr>
          <w:rFonts w:ascii="Times New Roman;serif" w:hAnsi="Times New Roman;serif"/>
          <w:b w:val="false"/>
          <w:color w:val="000000"/>
          <w:sz w:val="20"/>
        </w:rPr>
        <w:t xml:space="preserve">Information about the Group’s impact on profit or loss of bonds is discussed in </w:t>
      </w:r>
      <w:hyperlink w:anchor="i9a6b03a630d54d2f9a50f30fac056880_49">
        <w:r>
          <w:rPr>
            <w:rStyle w:val="InternetLink"/>
            <w:rFonts w:ascii="Times New Roman;serif" w:hAnsi="Times New Roman;serif"/>
            <w:b w:val="false"/>
            <w:color w:val="0000FF"/>
            <w:sz w:val="20"/>
            <w:u w:val="single"/>
          </w:rPr>
          <w:t>Note 11. Other Results</w:t>
        </w:r>
      </w:hyperlink>
    </w:p>
    <w:p>
      <w:pPr>
        <w:pStyle w:val="TextBody"/>
        <w:bidi w:val="0"/>
        <w:spacing w:lineRule="auto" w:line="288" w:before="120" w:after="120"/>
        <w:ind w:left="0" w:right="0" w:hanging="490"/>
        <w:jc w:val="both"/>
        <w:rPr>
          <w:rFonts w:ascii="Times New Roman;serif" w:hAnsi="Times New Roman;serif"/>
          <w:b w:val="false"/>
          <w:i/>
          <w:color w:val="000000"/>
          <w:sz w:val="20"/>
        </w:rPr>
      </w:pPr>
      <w:r>
        <w:rPr>
          <w:rFonts w:ascii="Times New Roman;serif" w:hAnsi="Times New Roman;serif"/>
          <w:b w:val="false"/>
          <w:i/>
          <w:color w:val="000000"/>
          <w:sz w:val="20"/>
        </w:rPr>
        <w:t>(c)Risk exposure and fair value measurements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Group’s financial assets at fair value through profit or loss consisted of Argentina Treasury Notes that are listed on the Argentinean Stock Exchange (Bolsas y Mercados Argentinos - BYMA). As of June 30, 2026, the Group held no financial assets measured at FVPL.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66750"/>
                <wp:effectExtent l="0" t="0" r="0" b="0"/>
                <wp:wrapNone/>
                <wp:docPr id="31" name="Frame30"/>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18</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17. Trade and other receivables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and other receivables of the Group are composed of the following:</w:t>
      </w:r>
    </w:p>
    <w:tbl>
      <w:tblPr>
        <w:tblW w:w="7221"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442"/>
        <w:gridCol w:w="444"/>
        <w:gridCol w:w="386"/>
        <w:gridCol w:w="109"/>
        <w:gridCol w:w="109"/>
        <w:gridCol w:w="109"/>
        <w:gridCol w:w="465"/>
        <w:gridCol w:w="465"/>
        <w:gridCol w:w="660"/>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05" w:type="dxa"/>
            <w:gridSpan w:val="3"/>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1,087,621 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521,736 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(2,863)</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1,084,758 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520,880 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64,698 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51,144 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Trade and other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1,149,456</w:t>
            </w:r>
            <w:r>
              <w:rPr>
                <w:color w:val="494949"/>
              </w:rPr>
              <w:t>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572,024</w:t>
            </w:r>
            <w:r>
              <w:rPr>
                <w:color w:val="494949"/>
              </w:rPr>
              <w:t>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and other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24,737 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25,982 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Trade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24,737</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25,982</w:t>
            </w:r>
            <w:r>
              <w:rPr>
                <w:color w:val="494949"/>
              </w:rPr>
              <w:t> </w:t>
            </w:r>
          </w:p>
        </w:tc>
        <w:tc>
          <w:tcPr>
            <w:tcW w:w="66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receivables represent uncollateralized gross amounts due from acquirers, processors, merchants and collection entities for services performed that will be collected in less than one year. As a result, they are classified as current. All Trade and other receivables have been assigned a “normal” credit risk rating which applies to financial assets for which a significant increase in credit risk has not occurred since initial recognition.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Advances and other receivables include payments made in advance as well as tax credits. </w:t>
      </w:r>
    </w:p>
    <w:p>
      <w:pPr>
        <w:pStyle w:val="TextBody"/>
        <w:bidi w:val="0"/>
        <w:spacing w:lineRule="auto" w:line="288" w:before="12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Loss allowance and impairment losses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evolution of the loss allowance:</w:t>
      </w:r>
    </w:p>
    <w:tbl>
      <w:tblPr>
        <w:tblW w:w="7209" w:type="dxa"/>
        <w:jc w:val="left"/>
        <w:tblInd w:w="0" w:type="dxa"/>
        <w:tblLayout w:type="fixed"/>
        <w:tblCellMar>
          <w:top w:w="28" w:type="dxa"/>
          <w:left w:w="28" w:type="dxa"/>
          <w:bottom w:w="28" w:type="dxa"/>
          <w:right w:w="28" w:type="dxa"/>
        </w:tblCellMar>
      </w:tblPr>
      <w:tblGrid>
        <w:gridCol w:w="1518"/>
        <w:gridCol w:w="1338"/>
        <w:gridCol w:w="1344"/>
        <w:gridCol w:w="109"/>
        <w:gridCol w:w="109"/>
        <w:gridCol w:w="109"/>
        <w:gridCol w:w="384"/>
        <w:gridCol w:w="384"/>
        <w:gridCol w:w="386"/>
        <w:gridCol w:w="109"/>
        <w:gridCol w:w="109"/>
        <w:gridCol w:w="109"/>
        <w:gridCol w:w="351"/>
        <w:gridCol w:w="351"/>
        <w:gridCol w:w="499"/>
      </w:tblGrid>
      <w:tr>
        <w:trPr/>
        <w:tc>
          <w:tcPr>
            <w:tcW w:w="151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2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January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499"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(Increase)/decrease in loss allowance for 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(3,851)</w:t>
            </w:r>
          </w:p>
        </w:tc>
        <w:tc>
          <w:tcPr>
            <w:tcW w:w="38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w:t>
            </w:r>
          </w:p>
        </w:tc>
        <w:tc>
          <w:tcPr>
            <w:tcW w:w="49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Write-off</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885 </w:t>
            </w:r>
          </w:p>
        </w:tc>
        <w:tc>
          <w:tcPr>
            <w:tcW w:w="49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(2,863)</w:t>
            </w:r>
          </w:p>
        </w:tc>
        <w:tc>
          <w:tcPr>
            <w:tcW w:w="38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(1,064)</w:t>
            </w:r>
          </w:p>
        </w:tc>
        <w:tc>
          <w:tcPr>
            <w:tcW w:w="499"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impairment (loss)/gain for trade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w:t>
            </w:r>
          </w:p>
        </w:tc>
        <w:tc>
          <w:tcPr>
            <w:tcW w:w="38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w:t>
            </w:r>
          </w:p>
        </w:tc>
        <w:tc>
          <w:tcPr>
            <w:tcW w:w="499"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purposes of initial recognition and subsequent measurement, the Group applies the simplified approach to determine expected credit losses on trade receivables.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To measure the expected credit losses, trade and other receivables have been grouped based on shared credit risk characteristics and the days past due.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expected loss rates are based on the payment profiles of debtors over a period of 48 months before year end and the corresponding historical credit losses experienced within this period. The historical loss rate is adjusted to reflect current and forward-looking information on credit risk ratings of the countries in which the Group sells its services which affects the ability of the debtors to settle the receivables. On that basis, the average expected credit loss rate was determined at 0.4% for the six months ended June 30, 2026 (0.3%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66750"/>
                <wp:effectExtent l="0" t="0" r="0" b="0"/>
                <wp:wrapNone/>
                <wp:docPr id="32" name="Frame31"/>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19</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18. Other assets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Other assets are composed of the following:</w:t>
      </w:r>
    </w:p>
    <w:tbl>
      <w:tblPr>
        <w:tblW w:w="6611" w:type="dxa"/>
        <w:jc w:val="left"/>
        <w:tblInd w:w="0" w:type="dxa"/>
        <w:tblLayout w:type="fixed"/>
        <w:tblCellMar>
          <w:top w:w="28" w:type="dxa"/>
          <w:left w:w="28" w:type="dxa"/>
          <w:bottom w:w="28" w:type="dxa"/>
          <w:right w:w="28" w:type="dxa"/>
        </w:tblCellMar>
      </w:tblPr>
      <w:tblGrid>
        <w:gridCol w:w="1280"/>
        <w:gridCol w:w="1126"/>
        <w:gridCol w:w="1134"/>
        <w:gridCol w:w="384"/>
        <w:gridCol w:w="384"/>
        <w:gridCol w:w="386"/>
        <w:gridCol w:w="109"/>
        <w:gridCol w:w="109"/>
        <w:gridCol w:w="109"/>
        <w:gridCol w:w="465"/>
        <w:gridCol w:w="465"/>
        <w:gridCol w:w="660"/>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held in escrow and guarantees due to: (i)</w:t>
            </w:r>
          </w:p>
        </w:tc>
        <w:tc>
          <w:tcPr>
            <w:tcW w:w="768"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24,561 </w:t>
            </w:r>
          </w:p>
        </w:tc>
        <w:tc>
          <w:tcPr>
            <w:tcW w:w="386"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5,081 </w:t>
            </w:r>
          </w:p>
        </w:tc>
        <w:tc>
          <w:tcPr>
            <w:tcW w:w="660"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18"/>
              </w:rPr>
              <w:t>Banks and regulatory requirements (ii)</w:t>
            </w:r>
          </w:p>
        </w:tc>
        <w:tc>
          <w:tcPr>
            <w:tcW w:w="768"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18,143 </w:t>
            </w:r>
          </w:p>
        </w:tc>
        <w:tc>
          <w:tcPr>
            <w:tcW w:w="386"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929292"/>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3,646 </w:t>
            </w:r>
          </w:p>
        </w:tc>
        <w:tc>
          <w:tcPr>
            <w:tcW w:w="660" w:type="dxa"/>
            <w:tcBorders>
              <w:top w:val="single" w:sz="8" w:space="0" w:color="929292"/>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18"/>
              </w:rPr>
              <w:t xml:space="preserve">Processors and others requirements </w:t>
            </w:r>
          </w:p>
        </w:tc>
        <w:tc>
          <w:tcPr>
            <w:tcW w:w="76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6,410 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Times New Roman;serif" w:hAnsi="Times New Roman;serif"/>
                <w:b w:val="false"/>
                <w:color w:val="000000"/>
                <w:sz w:val="18"/>
              </w:rPr>
              <w:t>Credit card requirements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Rental guarantees</w:t>
            </w:r>
          </w:p>
        </w:tc>
        <w:tc>
          <w:tcPr>
            <w:tcW w:w="76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financial asset measured at FVPL (iii)</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Other assets</w:t>
            </w:r>
          </w:p>
        </w:tc>
        <w:tc>
          <w:tcPr>
            <w:tcW w:w="768"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25,055</w:t>
            </w:r>
            <w:r>
              <w:rPr>
                <w:color w:val="494949"/>
              </w:rPr>
              <w:t> </w:t>
            </w:r>
          </w:p>
        </w:tc>
        <w:tc>
          <w:tcPr>
            <w:tcW w:w="386"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929292"/>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29,607</w:t>
            </w:r>
            <w:r>
              <w:rPr>
                <w:color w:val="494949"/>
              </w:rPr>
              <w:t> </w:t>
            </w:r>
          </w:p>
        </w:tc>
        <w:tc>
          <w:tcPr>
            <w:tcW w:w="660" w:type="dxa"/>
            <w:tcBorders>
              <w:top w:val="single" w:sz="8" w:space="0" w:color="929292"/>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 current</w:t>
            </w:r>
          </w:p>
        </w:tc>
        <w:tc>
          <w:tcPr>
            <w:tcW w:w="1154" w:type="dxa"/>
            <w:gridSpan w:val="3"/>
            <w:tcBorders>
              <w:top w:val="doub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financial asset measured at FVPL (iv)</w:t>
            </w:r>
          </w:p>
        </w:tc>
        <w:tc>
          <w:tcPr>
            <w:tcW w:w="76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5,782 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5,614 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Non-current Other assets</w:t>
            </w:r>
          </w:p>
        </w:tc>
        <w:tc>
          <w:tcPr>
            <w:tcW w:w="768" w:type="dxa"/>
            <w:gridSpan w:val="2"/>
            <w:tcBorders>
              <w:top w:val="single" w:sz="8" w:space="0" w:color="929292"/>
              <w:bottom w:val="doub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5,782</w:t>
            </w:r>
            <w:r>
              <w:rPr>
                <w:color w:val="494949"/>
              </w:rPr>
              <w:t> </w:t>
            </w:r>
          </w:p>
        </w:tc>
        <w:tc>
          <w:tcPr>
            <w:tcW w:w="386" w:type="dxa"/>
            <w:tcBorders>
              <w:top w:val="single" w:sz="8" w:space="0" w:color="929292"/>
              <w:bottom w:val="doub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929292"/>
              <w:bottom w:val="double" w:sz="8" w:space="0" w:color="929292"/>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5,614</w:t>
            </w:r>
            <w:r>
              <w:rPr>
                <w:color w:val="494949"/>
              </w:rPr>
              <w:t> </w:t>
            </w:r>
          </w:p>
        </w:tc>
        <w:tc>
          <w:tcPr>
            <w:tcW w:w="660" w:type="dxa"/>
            <w:tcBorders>
              <w:top w:val="single" w:sz="8" w:space="0" w:color="929292"/>
              <w:bottom w:val="double" w:sz="8" w:space="0" w:color="929292"/>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(i)Includes own funds and investments held in escrow and guarantees required by processors, credit cards and merchants. Amounts held in escrow also include funds held in a pledge account to collateralize overdrafts and pre-settlements agreements with a bank. It also includes guarantees issued to processors and credit cards institutions. These agreements have short-term maturities.</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(ii)As of June 30, 2026, this balance mainly relates to restricted cash subject to regulatory requirements in Egypt and Morocco.</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(iii)In December 2024 and June 2025, dLocal entered into short-term credit facility agreements with Aza Finance, a fintech company specializing in cross-border payments and foreign exchange solutions in Africa, as a working capital facility at 7% and 15% annual interest rates. These agreements encompassed a call option (the "Call Option") that granted dLocal the right to acquire designated entities or groups of assets from the borrower group.On January 6, 2026, the Company exercised the Call Option, and On February 27, 2026, acquired and obtained control as disclosed in </w:t>
      </w:r>
      <w:hyperlink w:anchor="i9a6b03a630d54d2f9a50f30fac056880_97">
        <w:r>
          <w:rPr>
            <w:rStyle w:val="InternetLink"/>
            <w:rFonts w:ascii="Times New Roman;serif" w:hAnsi="Times New Roman;serif"/>
            <w:b w:val="false"/>
            <w:color w:val="0000FF"/>
            <w:sz w:val="16"/>
            <w:u w:val="single"/>
          </w:rPr>
          <w:t>Note 27. Business Combination.</w:t>
        </w:r>
      </w:hyperlink>
      <w:r>
        <w:rPr>
          <w:color w:val="000000"/>
        </w:rPr>
        <w:t xml:space="preserve"> </w:t>
      </w:r>
    </w:p>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(iv)The financial asset measured at FVPL relates to amounts contractually due from a third-party payment processor. During 2025, the Company reassessed the recoverable amount of this asset and recognized a fair value adjustment in financial results. As of June 30, 2026, the carrying amount totaled US$5,782 (US$5,614 as of December 31, 2025). The Company has formally initiated a legal claim against the third-party payment processor. While the legal proceedings are ongoing, dLocal continues to monitor developments and assess the recoverability of the remaining balance in accordance with the accounting policies and applicable accounting standards. The Company, together with its external legal counsel, continues to believe that it has good prospects of recovering the total amounts, including the written off (see </w:t>
      </w:r>
      <w:hyperlink w:anchor="i9a6b03a630d54d2f9a50f30fac056880_67">
        <w:r>
          <w:rPr>
            <w:rStyle w:val="InternetLink"/>
            <w:rFonts w:ascii="Times New Roman;serif" w:hAnsi="Times New Roman;serif"/>
            <w:b w:val="false"/>
            <w:color w:val="0000FF"/>
            <w:sz w:val="16"/>
            <w:u w:val="single"/>
          </w:rPr>
          <w:t>Note 17. Trade and other receivables</w:t>
        </w:r>
      </w:hyperlink>
      <w:r>
        <w:rPr>
          <w:rFonts w:ascii="Times New Roman;serif" w:hAnsi="Times New Roman;serif"/>
          <w:b w:val="false"/>
          <w:color w:val="000000"/>
          <w:sz w:val="16"/>
        </w:rPr>
        <w:t>) and that this matter should not result in any material additional loss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19. Intangible assets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Intangible assets of the Group correspond to acquired software, capitalized expenses related to internally generated software and acquired merchant agreements, and are stated at cost less accumulated amortization.</w:t>
      </w:r>
    </w:p>
    <w:tbl>
      <w:tblPr>
        <w:tblW w:w="10205" w:type="dxa"/>
        <w:jc w:val="left"/>
        <w:tblInd w:w="0" w:type="dxa"/>
        <w:tblLayout w:type="fixed"/>
        <w:tblCellMar>
          <w:top w:w="28" w:type="dxa"/>
          <w:left w:w="28" w:type="dxa"/>
          <w:bottom w:w="28" w:type="dxa"/>
          <w:right w:w="28" w:type="dxa"/>
        </w:tblCellMar>
      </w:tblPr>
      <w:tblGrid>
        <w:gridCol w:w="416"/>
        <w:gridCol w:w="367"/>
        <w:gridCol w:w="341"/>
        <w:gridCol w:w="460"/>
        <w:gridCol w:w="310"/>
        <w:gridCol w:w="311"/>
        <w:gridCol w:w="109"/>
        <w:gridCol w:w="109"/>
        <w:gridCol w:w="109"/>
        <w:gridCol w:w="384"/>
        <w:gridCol w:w="307"/>
        <w:gridCol w:w="308"/>
        <w:gridCol w:w="109"/>
        <w:gridCol w:w="109"/>
        <w:gridCol w:w="109"/>
        <w:gridCol w:w="382"/>
        <w:gridCol w:w="382"/>
        <w:gridCol w:w="384"/>
        <w:gridCol w:w="109"/>
        <w:gridCol w:w="109"/>
        <w:gridCol w:w="109"/>
        <w:gridCol w:w="368"/>
        <w:gridCol w:w="368"/>
        <w:gridCol w:w="171"/>
        <w:gridCol w:w="109"/>
        <w:gridCol w:w="109"/>
        <w:gridCol w:w="109"/>
        <w:gridCol w:w="388"/>
        <w:gridCol w:w="310"/>
        <w:gridCol w:w="311"/>
        <w:gridCol w:w="109"/>
        <w:gridCol w:w="109"/>
        <w:gridCol w:w="109"/>
        <w:gridCol w:w="384"/>
        <w:gridCol w:w="307"/>
        <w:gridCol w:w="308"/>
        <w:gridCol w:w="109"/>
        <w:gridCol w:w="109"/>
        <w:gridCol w:w="109"/>
        <w:gridCol w:w="368"/>
        <w:gridCol w:w="368"/>
        <w:gridCol w:w="240"/>
      </w:tblGrid>
      <w:tr>
        <w:trPr/>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At January 1,</w:t>
            </w:r>
          </w:p>
        </w:tc>
        <w:tc>
          <w:tcPr>
            <w:tcW w:w="1081"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Internally generated software</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Acquired intangible assets</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Acquired in a business combination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Internally generated software</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Acquired intangible assets</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94,520 </w:t>
            </w:r>
          </w:p>
        </w:tc>
        <w:tc>
          <w:tcPr>
            <w:tcW w:w="31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41,273 </w:t>
            </w:r>
          </w:p>
        </w:tc>
        <w:tc>
          <w:tcPr>
            <w:tcW w:w="3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135,793 </w:t>
            </w:r>
          </w:p>
        </w:tc>
        <w:tc>
          <w:tcPr>
            <w:tcW w:w="17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60,255 </w:t>
            </w:r>
          </w:p>
        </w:tc>
        <w:tc>
          <w:tcPr>
            <w:tcW w:w="31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41,034 </w:t>
            </w:r>
          </w:p>
        </w:tc>
        <w:tc>
          <w:tcPr>
            <w:tcW w:w="3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101,289 </w:t>
            </w:r>
          </w:p>
        </w:tc>
        <w:tc>
          <w:tcPr>
            <w:tcW w:w="24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(10,945)</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(30,096)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(7,875)</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(37,971)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Opening book value as of January 1</w:t>
            </w:r>
          </w:p>
        </w:tc>
        <w:tc>
          <w:tcPr>
            <w:tcW w:w="77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43,637</w:t>
            </w:r>
            <w:r>
              <w:rPr>
                <w:color w:val="494949"/>
              </w:rPr>
              <w:t> </w:t>
            </w:r>
          </w:p>
        </w:tc>
        <w:tc>
          <w:tcPr>
            <w:tcW w:w="31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30,328</w:t>
            </w:r>
            <w:r>
              <w:rPr>
                <w:color w:val="494949"/>
              </w:rPr>
              <w:t> </w:t>
            </w:r>
          </w:p>
        </w:tc>
        <w:tc>
          <w:tcPr>
            <w:tcW w:w="3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38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73,965</w:t>
            </w:r>
            <w:r>
              <w:rPr>
                <w:color w:val="494949"/>
              </w:rPr>
              <w:t> </w:t>
            </w:r>
          </w:p>
        </w:tc>
        <w:tc>
          <w:tcPr>
            <w:tcW w:w="17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30,159</w:t>
            </w:r>
            <w:r>
              <w:rPr>
                <w:color w:val="494949"/>
              </w:rPr>
              <w:t> </w:t>
            </w:r>
          </w:p>
        </w:tc>
        <w:tc>
          <w:tcPr>
            <w:tcW w:w="311"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33,159</w:t>
            </w:r>
            <w:r>
              <w:rPr>
                <w:color w:val="494949"/>
              </w:rPr>
              <w:t> </w:t>
            </w:r>
          </w:p>
        </w:tc>
        <w:tc>
          <w:tcPr>
            <w:tcW w:w="30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63,318</w:t>
            </w:r>
            <w:r>
              <w:rPr>
                <w:color w:val="494949"/>
              </w:rPr>
              <w:t> </w:t>
            </w:r>
          </w:p>
        </w:tc>
        <w:tc>
          <w:tcPr>
            <w:tcW w:w="24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(i)</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16,388 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34,504 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the year</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(11,792)</w:t>
            </w:r>
          </w:p>
        </w:tc>
        <w:tc>
          <w:tcPr>
            <w:tcW w:w="3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w:t>
            </w:r>
          </w:p>
        </w:tc>
        <w:tc>
          <w:tcPr>
            <w:tcW w:w="3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38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(14,390)</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(20,787)</w:t>
            </w:r>
          </w:p>
        </w:tc>
        <w:tc>
          <w:tcPr>
            <w:tcW w:w="3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(3,070)</w:t>
            </w:r>
          </w:p>
        </w:tc>
        <w:tc>
          <w:tcPr>
            <w:tcW w:w="3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(23,857)</w:t>
            </w:r>
          </w:p>
        </w:tc>
        <w:tc>
          <w:tcPr>
            <w:tcW w:w="24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 of period end</w:t>
            </w:r>
          </w:p>
        </w:tc>
        <w:tc>
          <w:tcPr>
            <w:tcW w:w="770"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50,732</w:t>
            </w:r>
            <w:r>
              <w:rPr>
                <w:color w:val="494949"/>
              </w:rPr>
              <w:t> </w:t>
            </w:r>
          </w:p>
        </w:tc>
        <w:tc>
          <w:tcPr>
            <w:tcW w:w="3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28,313</w:t>
            </w:r>
            <w:r>
              <w:rPr>
                <w:color w:val="494949"/>
              </w:rPr>
              <w:t> </w:t>
            </w:r>
          </w:p>
        </w:tc>
        <w:tc>
          <w:tcPr>
            <w:tcW w:w="30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15,805</w:t>
            </w:r>
            <w:r>
              <w:rPr>
                <w:color w:val="494949"/>
              </w:rPr>
              <w:t> </w:t>
            </w:r>
          </w:p>
        </w:tc>
        <w:tc>
          <w:tcPr>
            <w:tcW w:w="384"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94,850</w:t>
            </w:r>
            <w:r>
              <w:rPr>
                <w:color w:val="494949"/>
              </w:rPr>
              <w:t> </w:t>
            </w:r>
          </w:p>
        </w:tc>
        <w:tc>
          <w:tcPr>
            <w:tcW w:w="17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43,637</w:t>
            </w:r>
            <w:r>
              <w:rPr>
                <w:color w:val="494949"/>
              </w:rPr>
              <w:t> </w:t>
            </w:r>
          </w:p>
        </w:tc>
        <w:tc>
          <w:tcPr>
            <w:tcW w:w="31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30,328</w:t>
            </w:r>
            <w:r>
              <w:rPr>
                <w:color w:val="494949"/>
              </w:rPr>
              <w:t> </w:t>
            </w:r>
          </w:p>
        </w:tc>
        <w:tc>
          <w:tcPr>
            <w:tcW w:w="30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73,965</w:t>
            </w:r>
            <w:r>
              <w:rPr>
                <w:color w:val="494949"/>
              </w:rPr>
              <w:t> </w:t>
            </w:r>
          </w:p>
        </w:tc>
        <w:tc>
          <w:tcPr>
            <w:tcW w:w="2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113,407 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16,388 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171,068 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41,273 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77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(62,675)</w:t>
            </w:r>
          </w:p>
        </w:tc>
        <w:tc>
          <w:tcPr>
            <w:tcW w:w="3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(12,960)</w:t>
            </w:r>
          </w:p>
        </w:tc>
        <w:tc>
          <w:tcPr>
            <w:tcW w:w="3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38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(76,218)</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(50,883)</w:t>
            </w:r>
          </w:p>
        </w:tc>
        <w:tc>
          <w:tcPr>
            <w:tcW w:w="3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(10,945)</w:t>
            </w:r>
          </w:p>
        </w:tc>
        <w:tc>
          <w:tcPr>
            <w:tcW w:w="30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(61,828)</w:t>
            </w:r>
          </w:p>
        </w:tc>
        <w:tc>
          <w:tcPr>
            <w:tcW w:w="24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    The additions of internally generated software for the six months ended June 30, 2026 include US$18,887 related to capitalized salaries and wages (US$14,046 as of June 30, 2025).</w:t>
      </w:r>
    </w:p>
    <w:p>
      <w:pPr>
        <w:pStyle w:val="TextBody"/>
        <w:bidi w:val="0"/>
        <w:spacing w:lineRule="auto" w:line="288" w:before="0" w:after="40"/>
        <w:ind w:left="0" w:right="0" w:hanging="360"/>
        <w:jc w:val="both"/>
        <w:rPr/>
      </w:pPr>
      <w:r>
        <w:rPr>
          <w:rFonts w:ascii="Times New Roman;serif" w:hAnsi="Times New Roman;serif"/>
          <w:b w:val="false"/>
          <w:color w:val="000000"/>
          <w:sz w:val="16"/>
        </w:rPr>
        <w:t>(ii) Acquired in business combinations relates to identifiable intangible assets recognized in connection with business combinations, as further described in</w:t>
      </w:r>
      <w:hyperlink w:anchor="i9a6b03a630d54d2f9a50f30fac056880_97">
        <w:r>
          <w:rPr>
            <w:rStyle w:val="InternetLink"/>
            <w:color w:val="0000FF"/>
            <w:u w:val="single"/>
          </w:rPr>
          <w:t xml:space="preserve"> </w:t>
        </w:r>
      </w:hyperlink>
      <w:hyperlink w:anchor="i9a6b03a630d54d2f9a50f30fac056880_97">
        <w:r>
          <w:rPr>
            <w:rStyle w:val="InternetLink"/>
            <w:rFonts w:ascii="Times New Roman;serif" w:hAnsi="Times New Roman;serif"/>
            <w:b w:val="false"/>
            <w:color w:val="0000FF"/>
            <w:sz w:val="16"/>
            <w:u w:val="single"/>
          </w:rPr>
          <w:t>Note 27. Business Combination.</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66750"/>
                <wp:effectExtent l="0" t="0" r="0" b="0"/>
                <wp:wrapNone/>
                <wp:docPr id="33" name="Frame32"/>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20</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no indicator of impairment related to intangible assets existed, so the Group did not perform an impairment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20. Trade and other payables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and other payables are composed of the following:</w:t>
      </w:r>
    </w:p>
    <w:tbl>
      <w:tblPr>
        <w:tblW w:w="4584" w:type="dxa"/>
        <w:jc w:val="left"/>
        <w:tblInd w:w="0" w:type="dxa"/>
        <w:tblLayout w:type="fixed"/>
        <w:tblCellMar>
          <w:top w:w="28" w:type="dxa"/>
          <w:left w:w="28" w:type="dxa"/>
          <w:bottom w:w="28" w:type="dxa"/>
          <w:right w:w="28" w:type="dxa"/>
        </w:tblCellMar>
      </w:tblPr>
      <w:tblGrid>
        <w:gridCol w:w="504"/>
        <w:gridCol w:w="444"/>
        <w:gridCol w:w="447"/>
        <w:gridCol w:w="442"/>
        <w:gridCol w:w="444"/>
        <w:gridCol w:w="386"/>
        <w:gridCol w:w="109"/>
        <w:gridCol w:w="109"/>
        <w:gridCol w:w="109"/>
        <w:gridCol w:w="465"/>
        <w:gridCol w:w="465"/>
        <w:gridCol w:w="660"/>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9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payables</w:t>
            </w:r>
          </w:p>
        </w:tc>
        <w:tc>
          <w:tcPr>
            <w:tcW w:w="88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1,507,225 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812,895 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3,418 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payables</w:t>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44,121 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38,123 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88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1,554,943</w:t>
            </w:r>
            <w:r>
              <w:rPr>
                <w:color w:val="494949"/>
              </w:rPr>
              <w:t> </w:t>
            </w:r>
          </w:p>
        </w:tc>
        <w:tc>
          <w:tcPr>
            <w:tcW w:w="38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854,436</w:t>
            </w:r>
            <w:r>
              <w:rPr>
                <w:color w:val="494949"/>
              </w:rPr>
              <w:t> </w:t>
            </w:r>
          </w:p>
        </w:tc>
        <w:tc>
          <w:tcPr>
            <w:tcW w:w="66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and other payables are classified as current liabilities as the payment is due within one year or less. Moreover, the carrying amounts are considered to be the same as fair values, due to their short – term nature.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Trade payables correspond to liabilities with Merchants, either related to pay-in transactions processed or pay-out pending at their request. Accrued liabilities mainly correspond to obligations with legal and tax advisors, as well as auditors. Other payables include general administrative expenses and other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21. Tax liabilities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tax liabilities breakdown is as follows:</w:t>
      </w:r>
    </w:p>
    <w:tbl>
      <w:tblPr>
        <w:tblW w:w="5785" w:type="dxa"/>
        <w:jc w:val="left"/>
        <w:tblInd w:w="0" w:type="dxa"/>
        <w:tblLayout w:type="fixed"/>
        <w:tblCellMar>
          <w:top w:w="28" w:type="dxa"/>
          <w:left w:w="28" w:type="dxa"/>
          <w:bottom w:w="28" w:type="dxa"/>
          <w:right w:w="28" w:type="dxa"/>
        </w:tblCellMar>
      </w:tblPr>
      <w:tblGrid>
        <w:gridCol w:w="981"/>
        <w:gridCol w:w="863"/>
        <w:gridCol w:w="870"/>
        <w:gridCol w:w="384"/>
        <w:gridCol w:w="384"/>
        <w:gridCol w:w="386"/>
        <w:gridCol w:w="109"/>
        <w:gridCol w:w="109"/>
        <w:gridCol w:w="109"/>
        <w:gridCol w:w="465"/>
        <w:gridCol w:w="465"/>
        <w:gridCol w:w="660"/>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15,964 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18,116 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tax liabilities </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3,387 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Income tax perception</w:t>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Digital services withholding VAT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76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19,351</w:t>
            </w:r>
            <w:r>
              <w:rPr>
                <w:color w:val="494949"/>
              </w:rPr>
              <w:t> </w:t>
            </w:r>
          </w:p>
        </w:tc>
        <w:tc>
          <w:tcPr>
            <w:tcW w:w="38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21,500</w:t>
            </w:r>
            <w:r>
              <w:rPr>
                <w:color w:val="494949"/>
              </w:rPr>
              <w:t> </w:t>
            </w:r>
          </w:p>
        </w:tc>
        <w:tc>
          <w:tcPr>
            <w:tcW w:w="66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22. Derivative financial instruments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Derivative financial instruments: forward agreements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Group’s operations are in various foreign currencies and consequently are exposed to foreign currency risk. As a consequence, the Group uses derivative instruments, delivery and non-delivery currency forward contracts and future contracts, to reduce the volatility of earnings and cash flows, caused by the exchange rate variation in which dLocal is exposed on the conversion of local currency into the settlement currency (usually US dollars). All outstanding derivatives are recognized in the Group’s consolidated statement of financial position at fair value and the impacts are recognized on profit or loss, as shown on the tables below.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Group uses foreign exchange forward contracts to manage some of its transaction exposures. The spot element of foreign exchange forward contracts is designated as hedging instruments in fair value hedges and are entered into for periods consistent with foreign currency exposure of the underlying transactions, generally from one to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66750"/>
                <wp:effectExtent l="0" t="0" r="0" b="0"/>
                <wp:wrapNone/>
                <wp:docPr id="34" name="Frame33"/>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21</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0"/>
        <w:gridCol w:w="376"/>
        <w:gridCol w:w="378"/>
        <w:gridCol w:w="109"/>
        <w:gridCol w:w="109"/>
        <w:gridCol w:w="109"/>
        <w:gridCol w:w="109"/>
        <w:gridCol w:w="426"/>
        <w:gridCol w:w="396"/>
        <w:gridCol w:w="298"/>
        <w:gridCol w:w="109"/>
        <w:gridCol w:w="109"/>
        <w:gridCol w:w="109"/>
        <w:gridCol w:w="464"/>
        <w:gridCol w:w="464"/>
        <w:gridCol w:w="466"/>
        <w:gridCol w:w="109"/>
        <w:gridCol w:w="109"/>
        <w:gridCol w:w="109"/>
        <w:gridCol w:w="569"/>
        <w:gridCol w:w="569"/>
        <w:gridCol w:w="570"/>
        <w:gridCol w:w="109"/>
        <w:gridCol w:w="109"/>
        <w:gridCol w:w="109"/>
        <w:gridCol w:w="465"/>
        <w:gridCol w:w="392"/>
        <w:gridCol w:w="394"/>
        <w:gridCol w:w="109"/>
        <w:gridCol w:w="109"/>
        <w:gridCol w:w="109"/>
        <w:gridCol w:w="513"/>
        <w:gridCol w:w="513"/>
        <w:gridCol w:w="738"/>
      </w:tblGrid>
      <w:tr>
        <w:trPr/>
        <w:tc>
          <w:tcPr>
            <w:tcW w:w="47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122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Type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 in US$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balance as of At June 30, 2026 - Derivative financial assets /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 in US$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balance as of December 31, 2025 - Derivative financial assets / (liabilities)</w:t>
            </w:r>
          </w:p>
        </w:tc>
      </w:tr>
      <w:tr>
        <w:trPr/>
        <w:tc>
          <w:tcPr>
            <w:tcW w:w="122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erif" w:hAnsi="Times New Roman;serif"/>
                <w:b/>
                <w:color w:val="000000"/>
                <w:sz w:val="18"/>
                <w:u w:val="single"/>
              </w:rPr>
              <w:t>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Buy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US Dollar</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Future Contract</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5,698 </w:t>
            </w:r>
          </w:p>
        </w:tc>
        <w:tc>
          <w:tcPr>
            <w:tcW w:w="39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73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Buy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Indian Rupee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39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United Arab Emirates Dirham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Argentine Peso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Futures Contract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4,300 </w:t>
            </w:r>
          </w:p>
        </w:tc>
        <w:tc>
          <w:tcPr>
            <w:tcW w:w="39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Peso filipino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Chilean Peso</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8,288 </w:t>
            </w:r>
          </w:p>
        </w:tc>
        <w:tc>
          <w:tcPr>
            <w:tcW w:w="46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7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Baht tailandés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4,793 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West African CFA franc</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6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7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Sell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US Dollar</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(14,854)</w:t>
            </w:r>
          </w:p>
        </w:tc>
        <w:tc>
          <w:tcPr>
            <w:tcW w:w="46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(15,294)</w:t>
            </w:r>
          </w:p>
        </w:tc>
        <w:tc>
          <w:tcPr>
            <w:tcW w:w="39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3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Sell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Brazilian Real</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(9,062)</w:t>
            </w:r>
          </w:p>
        </w:tc>
        <w:tc>
          <w:tcPr>
            <w:tcW w:w="46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7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(10,961)</w:t>
            </w:r>
          </w:p>
        </w:tc>
        <w:tc>
          <w:tcPr>
            <w:tcW w:w="39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73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Turkish Lira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Southafrican Rand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(7,028)</w:t>
            </w:r>
          </w:p>
        </w:tc>
        <w:tc>
          <w:tcPr>
            <w:tcW w:w="46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7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169</w:t>
            </w:r>
            <w:r>
              <w:rPr>
                <w:color w:val="494949"/>
              </w:rPr>
              <w:t> </w:t>
            </w:r>
          </w:p>
        </w:tc>
        <w:tc>
          <w:tcPr>
            <w:tcW w:w="57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140</w:t>
            </w:r>
            <w:r>
              <w:rPr>
                <w:color w:val="494949"/>
              </w:rPr>
              <w:t> </w:t>
            </w:r>
          </w:p>
        </w:tc>
        <w:tc>
          <w:tcPr>
            <w:tcW w:w="73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r>
      <w:tr>
        <w:trPr/>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r>
      <w:tr>
        <w:trPr/>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r>
      <w:tr>
        <w:trPr/>
        <w:tc>
          <w:tcPr>
            <w:tcW w:w="12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u w:val="single"/>
              </w:rPr>
            </w:pPr>
            <w:r>
              <w:rPr>
                <w:color w:val="000000"/>
                <w:u w:val="single"/>
              </w:rPr>
              <w:t> </w:t>
            </w:r>
            <w:r>
              <w:rPr>
                <w:rFonts w:ascii="Times New Roman;serif" w:hAnsi="Times New Roman;serif"/>
                <w:b/>
                <w:color w:val="000000"/>
                <w:sz w:val="18"/>
                <w:u w:val="single"/>
              </w:rPr>
              <w:t>Liabilities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doub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Buy 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US Dollar</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38,658 </w:t>
            </w:r>
          </w:p>
        </w:tc>
        <w:tc>
          <w:tcPr>
            <w:tcW w:w="46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7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31,874 </w:t>
            </w:r>
          </w:p>
        </w:tc>
        <w:tc>
          <w:tcPr>
            <w:tcW w:w="39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738"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US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Futures Contract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5,656 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Buy US$</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66750"/>
                <wp:effectExtent l="0" t="0" r="0" b="0"/>
                <wp:wrapNone/>
                <wp:docPr id="35" name="Frame34"/>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22</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99"/>
        <w:gridCol w:w="350"/>
        <w:gridCol w:w="352"/>
        <w:gridCol w:w="109"/>
        <w:gridCol w:w="109"/>
        <w:gridCol w:w="109"/>
        <w:gridCol w:w="109"/>
        <w:gridCol w:w="427"/>
        <w:gridCol w:w="398"/>
        <w:gridCol w:w="301"/>
        <w:gridCol w:w="109"/>
        <w:gridCol w:w="109"/>
        <w:gridCol w:w="109"/>
        <w:gridCol w:w="471"/>
        <w:gridCol w:w="471"/>
        <w:gridCol w:w="472"/>
        <w:gridCol w:w="109"/>
        <w:gridCol w:w="109"/>
        <w:gridCol w:w="109"/>
        <w:gridCol w:w="583"/>
        <w:gridCol w:w="583"/>
        <w:gridCol w:w="585"/>
        <w:gridCol w:w="109"/>
        <w:gridCol w:w="109"/>
        <w:gridCol w:w="109"/>
        <w:gridCol w:w="459"/>
        <w:gridCol w:w="401"/>
        <w:gridCol w:w="402"/>
        <w:gridCol w:w="109"/>
        <w:gridCol w:w="109"/>
        <w:gridCol w:w="109"/>
        <w:gridCol w:w="526"/>
        <w:gridCol w:w="526"/>
        <w:gridCol w:w="755"/>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Type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 in US$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balance as of At June 30, 2026 - Derivative financial assets /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 in US$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Outstanding balance as of December 31, 2025 - Derivative financial assets / (liabilities)</w:t>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Turkish Lira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Moroccan Dirham</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8,468 </w:t>
            </w:r>
          </w:p>
        </w:tc>
        <w:tc>
          <w:tcPr>
            <w:tcW w:w="47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8,740 </w:t>
            </w:r>
          </w:p>
        </w:tc>
        <w:tc>
          <w:tcPr>
            <w:tcW w:w="4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South African Rand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Brazilian Real</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15,700 </w:t>
            </w:r>
          </w:p>
        </w:tc>
        <w:tc>
          <w:tcPr>
            <w:tcW w:w="47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5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7,929 </w:t>
            </w:r>
          </w:p>
        </w:tc>
        <w:tc>
          <w:tcPr>
            <w:tcW w:w="4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Egyptian 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12,908 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Indian Rupee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6,294 </w:t>
            </w:r>
          </w:p>
        </w:tc>
        <w:tc>
          <w:tcPr>
            <w:tcW w:w="47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5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Nigerian Naira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Pakistani Rupee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4,012 </w:t>
            </w:r>
          </w:p>
        </w:tc>
        <w:tc>
          <w:tcPr>
            <w:tcW w:w="47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5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4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Vietnamese Dong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Non-delivery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Saudi Riyal</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4,504 </w:t>
            </w:r>
          </w:p>
        </w:tc>
        <w:tc>
          <w:tcPr>
            <w:tcW w:w="4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Mexican Peso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Thai Baht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Forward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4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Mexican Peso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Futures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10,864 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Chilean Peso</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27,128 </w:t>
            </w:r>
          </w:p>
        </w:tc>
        <w:tc>
          <w:tcPr>
            <w:tcW w:w="40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75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Sell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i/>
                <w:color w:val="000000"/>
                <w:sz w:val="18"/>
              </w:rPr>
              <w:t xml:space="preserve">Argentine Peso </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18"/>
              </w:rPr>
              <w:t xml:space="preserve">Futures Contract </w:t>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47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58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5"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Total</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(1,928)</w:t>
            </w:r>
          </w:p>
        </w:tc>
        <w:tc>
          <w:tcPr>
            <w:tcW w:w="585"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(1,567)</w:t>
            </w:r>
          </w:p>
        </w:tc>
        <w:tc>
          <w:tcPr>
            <w:tcW w:w="755"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55"/>
        <w:gridCol w:w="1454"/>
        <w:gridCol w:w="1460"/>
        <w:gridCol w:w="109"/>
        <w:gridCol w:w="109"/>
        <w:gridCol w:w="109"/>
        <w:gridCol w:w="385"/>
        <w:gridCol w:w="318"/>
        <w:gridCol w:w="307"/>
        <w:gridCol w:w="146"/>
        <w:gridCol w:w="146"/>
        <w:gridCol w:w="146"/>
        <w:gridCol w:w="385"/>
        <w:gridCol w:w="318"/>
        <w:gridCol w:w="307"/>
        <w:gridCol w:w="109"/>
        <w:gridCol w:w="109"/>
        <w:gridCol w:w="109"/>
        <w:gridCol w:w="385"/>
        <w:gridCol w:w="318"/>
        <w:gridCol w:w="294"/>
        <w:gridCol w:w="159"/>
        <w:gridCol w:w="159"/>
        <w:gridCol w:w="159"/>
        <w:gridCol w:w="351"/>
        <w:gridCol w:w="307"/>
        <w:gridCol w:w="392"/>
      </w:tblGrid>
      <w:tr>
        <w:trPr/>
        <w:tc>
          <w:tcPr>
            <w:tcW w:w="165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38"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7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56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Net gain/(loss) on foreign currency forwards recognized in ‘Costs of Services’ (Note 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307"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w:t>
            </w:r>
          </w:p>
        </w:tc>
        <w:tc>
          <w:tcPr>
            <w:tcW w:w="307"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(2,650)</w:t>
            </w:r>
          </w:p>
        </w:tc>
        <w:tc>
          <w:tcPr>
            <w:tcW w:w="29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39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Net loss on foreign currency forwards recognized in ‘Finance Costs’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(3,632)</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 Classification of derivatives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are financial instruments entered into only for economic hedging purposes and not contracted as speculative investments. However, where derivatives do not meet the hedge accounting criteria, they are classified as ‘held for trading’ for accounting purposes and are accounted for at fair value through profit or loss. The full fair value of hedging derivatives is classified as a non-current asset or liability when the remaining maturity of the hedged item is more than 12 months, otherwise they are classified as a current asset or liability. Derivatives held for trading are classified as a current asset or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23. Financial liabilities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financial liabilities breakdown is as follows:</w:t>
      </w:r>
    </w:p>
    <w:tbl>
      <w:tblPr>
        <w:tblW w:w="5365" w:type="dxa"/>
        <w:jc w:val="left"/>
        <w:tblInd w:w="0" w:type="dxa"/>
        <w:tblLayout w:type="fixed"/>
        <w:tblCellMar>
          <w:top w:w="28" w:type="dxa"/>
          <w:left w:w="28" w:type="dxa"/>
          <w:bottom w:w="28" w:type="dxa"/>
          <w:right w:w="28" w:type="dxa"/>
        </w:tblCellMar>
      </w:tblPr>
      <w:tblGrid>
        <w:gridCol w:w="829"/>
        <w:gridCol w:w="730"/>
        <w:gridCol w:w="735"/>
        <w:gridCol w:w="384"/>
        <w:gridCol w:w="384"/>
        <w:gridCol w:w="386"/>
        <w:gridCol w:w="109"/>
        <w:gridCol w:w="109"/>
        <w:gridCol w:w="109"/>
        <w:gridCol w:w="465"/>
        <w:gridCol w:w="465"/>
        <w:gridCol w:w="660"/>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(i)</w:t>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64,632 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86,713 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 overdraft (ii)</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94949"/>
              </w:rPr>
            </w:pPr>
            <w:r>
              <w:rPr>
                <w:color w:val="494949"/>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185</w:t>
            </w:r>
            <w:r>
              <w:rPr>
                <w:color w:val="494949"/>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Financial liabilities (iii)</w:t>
            </w:r>
          </w:p>
        </w:tc>
        <w:tc>
          <w:tcPr>
            <w:tcW w:w="76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64,632</w:t>
            </w:r>
            <w:r>
              <w:rPr>
                <w:color w:val="494949"/>
              </w:rPr>
              <w:t> </w:t>
            </w:r>
          </w:p>
        </w:tc>
        <w:tc>
          <w:tcPr>
            <w:tcW w:w="38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86,898</w:t>
            </w:r>
            <w:r>
              <w:rPr>
                <w:color w:val="494949"/>
              </w:rPr>
              <w:t> </w:t>
            </w:r>
          </w:p>
        </w:tc>
        <w:tc>
          <w:tcPr>
            <w:tcW w:w="66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66750"/>
                <wp:effectExtent l="0" t="0" r="0" b="0"/>
                <wp:wrapNone/>
                <wp:docPr id="36" name="Frame35"/>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23</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(i)As of June 30, 2026 and December 31, 2025, the Group entered into borrowing agreements and, as of as of December 30, 2025, issued promissory notes denominated in Argentinean Pesos (AR$) with a financial institution in Argentina. The borrowing is agreed on a daily basis and pays an annual interest rate with reference to BADLAR, which represents the average interest rate on time deposits in Argentinean pesos published by the Central Bank of Argentina. The promissory notes have short-term maturities and interest at an annual rate referenced to TAMAR, the average lending rate in Argentine pesos published by the Central Bank of Argentina. The borrowings cost as of June 30, 2026 amounts to US$8,035 recognized in processing cost as merchant advances finance cost (see </w:t>
      </w:r>
      <w:hyperlink w:anchor="i9a6b03a630d54d2f9a50f30fac056880_49">
        <w:r>
          <w:rPr>
            <w:rStyle w:val="InternetLink"/>
            <w:rFonts w:ascii="Times New Roman;serif" w:hAnsi="Times New Roman;serif"/>
            <w:b w:val="false"/>
            <w:color w:val="0000FF"/>
            <w:sz w:val="16"/>
            <w:u w:val="single"/>
          </w:rPr>
          <w:t>Note 11. Other results</w:t>
        </w:r>
      </w:hyperlink>
      <w:r>
        <w:rPr>
          <w:rFonts w:ascii="Times New Roman;serif" w:hAnsi="Times New Roman;serif"/>
          <w:b w:val="false"/>
          <w:color w:val="000000"/>
          <w:sz w:val="16"/>
        </w:rPr>
        <w:t xml:space="preserve">). As part of this financing, as of June 30, 2026 and December 31, 2025, certain financial assets for a carrying amount of US$59,267 and US$74,478, respectively, were held as security of this borrowing (see Note 16. Financial assets for additional information). </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(ii)As of December 31, 2025, the Group recognized an overdraft balance at dLocal Chile related to a credit line agreement with Itaú Chile.</w:t>
      </w:r>
    </w:p>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(iii)Financial liabilities are presented net of cash payments, have a high turnover, the amounts are large, and the maturity period is three months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24. Provisions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(a) Current or potential proceedings for labor provisions and civil claims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 has been associated with civil and labor lawsuits that present risk of potential loss. Provisions for losses arising from these lawsuits and potential labor contingencies are recognized when management, based on assessments by the Group’s legal advisors, determines that an outflow of resources is more likely than not required to settle the obligation and that a reliable estimate of the amount can be made.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amount recognized for existing contingencies classified as probable by the Group, as evaluated by its legal advisors, is US$759. This amount includes provisions for labor contractor claims and civil claims.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(b) Movements in current or potential proceedings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Movements in current or potential proceedings are set out below:</w:t>
      </w:r>
    </w:p>
    <w:tbl>
      <w:tblPr>
        <w:tblW w:w="6098" w:type="dxa"/>
        <w:jc w:val="left"/>
        <w:tblInd w:w="0" w:type="dxa"/>
        <w:tblLayout w:type="fixed"/>
        <w:tblCellMar>
          <w:top w:w="28" w:type="dxa"/>
          <w:left w:w="28" w:type="dxa"/>
          <w:bottom w:w="28" w:type="dxa"/>
          <w:right w:w="28" w:type="dxa"/>
        </w:tblCellMar>
      </w:tblPr>
      <w:tblGrid>
        <w:gridCol w:w="977"/>
        <w:gridCol w:w="860"/>
        <w:gridCol w:w="863"/>
        <w:gridCol w:w="109"/>
        <w:gridCol w:w="109"/>
        <w:gridCol w:w="109"/>
        <w:gridCol w:w="384"/>
        <w:gridCol w:w="384"/>
        <w:gridCol w:w="386"/>
        <w:gridCol w:w="109"/>
        <w:gridCol w:w="109"/>
        <w:gridCol w:w="109"/>
        <w:gridCol w:w="465"/>
        <w:gridCol w:w="465"/>
        <w:gridCol w:w="660"/>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Carrying amount as of January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433</w:t>
            </w:r>
            <w:r>
              <w:rPr>
                <w:color w:val="494949"/>
              </w:rPr>
              <w:t> </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500</w:t>
            </w:r>
            <w:r>
              <w:rPr>
                <w:color w:val="494949"/>
              </w:rPr>
              <w:t> </w:t>
            </w:r>
          </w:p>
        </w:tc>
        <w:tc>
          <w:tcPr>
            <w:tcW w:w="66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charges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Carrying amount as of June 30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759</w:t>
            </w:r>
            <w:r>
              <w:rPr>
                <w:color w:val="494949"/>
              </w:rPr>
              <w:t> </w:t>
            </w:r>
          </w:p>
        </w:tc>
        <w:tc>
          <w:tcPr>
            <w:tcW w:w="38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433</w:t>
            </w:r>
            <w:r>
              <w:rPr>
                <w:color w:val="494949"/>
              </w:rPr>
              <w:t> </w:t>
            </w:r>
          </w:p>
        </w:tc>
        <w:tc>
          <w:tcPr>
            <w:tcW w:w="66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(c) Other legal matters</w:t>
      </w:r>
    </w:p>
    <w:p>
      <w:pPr>
        <w:pStyle w:val="TextBody"/>
        <w:bidi w:val="0"/>
        <w:spacing w:lineRule="auto" w:line="288" w:before="0" w:after="60"/>
        <w:ind w:left="0" w:right="0" w:hanging="360"/>
        <w:jc w:val="both"/>
        <w:rPr>
          <w:rFonts w:ascii="Times New Roman;serif" w:hAnsi="Times New Roman;serif"/>
          <w:b/>
          <w:color w:val="242424"/>
          <w:sz w:val="20"/>
        </w:rPr>
      </w:pPr>
      <w:r>
        <w:rPr>
          <w:rFonts w:ascii="Times New Roman;serif" w:hAnsi="Times New Roman;serif"/>
          <w:b/>
          <w:color w:val="242424"/>
          <w:sz w:val="20"/>
        </w:rPr>
        <w:t>(a)Class action lawsuits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February 23 and February 28, 2023, respectively, the Company was named, along with several of its senior executives and/or directors, as defendants in certain putative class action lawsuits filed in the Supreme Court of the State of New York, New York County, asserting claims under Sections 11, 12, and 15 of the Securities Act of 1933, based in significant part on a short-seller report. These matters, Zappia et al. v. DLocal Limited et al., Index No. 151778/2023 (Sup. Ct. N.Y. Cty.), and Hunt et al. v. DLocal Limited et al., Index No. 651058/2023 (Sup. Ct. N.Y. Cty.), or the Zappia and Hunt Actions, allege, among other things, that the registration statement for the Company’s June 2021 initial public offering reflected certain material misstatements or omissions.</w:t>
      </w:r>
    </w:p>
    <w:p>
      <w:pPr>
        <w:pStyle w:val="TextBody"/>
        <w:bidi w:val="0"/>
        <w:spacing w:lineRule="auto" w:line="288" w:before="200" w:after="200"/>
        <w:jc w:val="both"/>
        <w:rPr/>
      </w:pPr>
      <w:r>
        <w:rPr>
          <w:rFonts w:ascii="Times New Roman;serif" w:hAnsi="Times New Roman;serif"/>
          <w:b w:val="false"/>
          <w:color w:val="000000"/>
          <w:sz w:val="20"/>
        </w:rPr>
        <w:t>On March 3, 2023, plaintiffs in the two actions filed a stipulation and proposed order consolidating the cases and appointing putative lead counsel. The parties also agreed to a schedule for plaintiffs’ filing of an amended complaint and a subsequent briefing schedule for a motion to dismiss the amended complaint.</w:t>
      </w:r>
      <w:r>
        <w:rPr>
          <w:color w:val="FF009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66750"/>
                <wp:effectExtent l="0" t="0" r="0" b="0"/>
                <wp:wrapNone/>
                <wp:docPr id="37" name="Frame36"/>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24</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May 12, 2023, plaintiffs in the Zappia and Hunt Actions jointly filed a consolidated amended complaint. On July 11, 2023, the Company filed a motion to dismiss the complaint. Plaintiffs filed their opposition brief on August 15, 2023, and the Company filed a reply in further support of its motion to dismiss on September 22, 2023. On February 29, 2024, the court presided over oral argument on the motion. On March 20, 2025, the court issued a decision and order granting the motion and dismissing the complaint as to all moving defendants, including dLocal. On April 18, 2025, the plaintiffs filed a notice of appeal of the decision and order granting the motion to dismiss. The plaintiffs had until October 18, 2025 to “perfect” their appeal by filing their opening appellate brief and the record on appeal. In an order dated June 9, 2025, the court dismissed the complaint in its entirety against the Individual Defendants for failure to effectuate service. On October 20, 2025, the plaintiffs filed their opening appellate brief as against the Company in the Supreme Court of the State of New York, Appellate Division, First Judicial Department. The Company’s response brief was filed on January 9, 2026, and Plaintiffs submitted a reply brief on February 13, 2026. The First Department heard oral argument on Plaintiffs’ appeal on March 25, 2026 and, on April 16, 2026, issued a unanimous Decision and Order affirming the lower court’s dismissal Order in full. The deadline for Plaintiffs to file any motion for leave to reargue and/or for permission to appeal to the New York Court of Appeals passed on May 18, 2026 with no filings.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has also been named, along with several of its senior executives and/or directors, in a putative class action lawsuit filed in the U.S. District Court for the Eastern District of New York, asserting claims under Sections 11 and 15 of the Securities Act and Sections 10(b) and 20(a) of the Securities Exchange Act of 1934, as well as Rule 10b-5 promulgated thereunder. This lawsuit, captioned Laurenzi v. dLocal Ltd., et al., 1:23-cv-07501 (E.D.N.Y.) (Laurenzi Action), was initiated on October 6, 2023. On January 4, 2024, the Court appointed a Lead Plaintiff. On March 18, 2024, Lead Plaintiff filed an amended class action complaint. The amended complaint alleges misstatements and omissions in the registration statement for the Company’s June 2021 initial public offering and in various public filings and press releases during the period of June 2, 2021, through June 5, 2023. Pursuant to a schedule agreed upon with Lead Plaintiff’s counsel, the Company filed on April 30, 2024, a letter, as required by court rules, requesting a pre-motion conference regarding an anticipated motion to dismiss the Laurenzi Action in full. Lead Plaintiff responded to that letter on May 14, 2024. On June 10, 2024, the court held the requested preliminary conference and set a schedule for briefing on the Company’s motion to dismiss. The Company served its opening brief on August 9, 2024, Lead Plaintiff served an opposition on October 11, 2024, and the Company served its reply on November 8, 2024. The court has not yet indicated whether it will hear oral argument on the Company’s motion, and no other proceedings are currently ongoing or scheduled. On July 9, 2025, the court issued an order holding the motion “in abeyance” until six months after the issuance of letters rogatory addressed to certain individual defendants. On August 20, 2025, the court formally issued letters rogatory addressed to such individual defendants. On February 10, 2026, the court granted at Lead Plaintiff’s request an extension of time until April 15, 2026 to effectuate international service of process on such individual defendants. Those individual defendants received international service of process in approximately early March 2026 and, on March 31, 2026, filed a notice of joinder in dLocal’s motion to dismiss.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preliminary posture of the above-described lawsuit as of the date of issuance of these Unaudited Consolidated Condensed Interim Financial Statements, the Company’s management and its legal advisors are unable to evaluate the likelihood of an adverse outcome or estimate a range of potential losses and no provision for contingencies has been recorded for the aforementioned matter. DLocal Limited intends to defend itself vigorously in this action. As of the date of issuance of the Company’s Unaudited Consolidated Condensed Interim Financial Statements there were no further updates in this regard. </w:t>
      </w:r>
    </w:p>
    <w:p>
      <w:pPr>
        <w:pStyle w:val="TextBody"/>
        <w:bidi w:val="0"/>
        <w:spacing w:lineRule="auto" w:line="288" w:before="0" w:after="60"/>
        <w:ind w:left="0" w:right="0" w:hanging="360"/>
        <w:jc w:val="both"/>
        <w:rPr>
          <w:rFonts w:ascii="Times New Roman;serif" w:hAnsi="Times New Roman;serif"/>
          <w:b/>
          <w:color w:val="242424"/>
          <w:sz w:val="20"/>
        </w:rPr>
      </w:pPr>
      <w:r>
        <w:rPr>
          <w:rFonts w:ascii="Times New Roman;serif" w:hAnsi="Times New Roman;serif"/>
          <w:b/>
          <w:color w:val="242424"/>
          <w:sz w:val="20"/>
        </w:rPr>
        <w:t>(b)Developments in Argentina</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Argentina is subject to extensive foreign exchange regulations. We regularly consult with our legal advisors in Argentina regarding the applicability of these regulations to our operations. Additionally, in 2023, certain administrative and judicial inquiries were initiated concerning the Company’s Argentinean subsidiary, dLocal Argentina S.A. These inquiries do not seek penalties at this stage. Based on consultations with the Company’s legal advisors, the management believes that the subsidiary’s activities comply with applicable laws and regulations, including foreign exchange and tax regulations. As of the date of this filing, no new developments have emerged in 2026 regarding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66750"/>
                <wp:effectExtent l="0" t="0" r="0" b="0"/>
                <wp:wrapNone/>
                <wp:docPr id="38" name="Frame37"/>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25</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25. Related parties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(a) Related Parties Transactions</w:t>
      </w:r>
    </w:p>
    <w:p>
      <w:pPr>
        <w:pStyle w:val="TextBody"/>
        <w:bidi w:val="0"/>
        <w:spacing w:lineRule="auto" w:line="288" w:before="200" w:after="200"/>
        <w:jc w:val="both"/>
        <w:rPr/>
      </w:pPr>
      <w:r>
        <w:rPr>
          <w:rFonts w:ascii="Times New Roman;serif" w:hAnsi="Times New Roman;serif"/>
          <w:b w:val="false"/>
          <w:color w:val="000000"/>
          <w:sz w:val="20"/>
        </w:rPr>
        <w:t>In June 2023, Dlocal Argentina S.A. entered into a loan agreement with DLocal Group for a total amount of US$100,000, which currently matures in December 2025. In August 2024, Dlocal Argentina partially repaid the intra-group loan by transferring approximately US$69,100 worth of Argentine government bonds to the subsidiary in Malta. In October 2024, Dlocal Argentina S.A. made a repayment of US$5,000, and in May 2025 an additional repayment of US$23,266. In September 2025, DLocal Group made a final repayment of US$11,639, thereby fully settling the outstanding balance. The primary impact on the Unaudited Consolidated Condensed Interim Financial Statements relates to foreign exchange losses incurred by Dlocal Argentina S.A. For further detail refer to</w:t>
      </w:r>
      <w:hyperlink w:anchor="i9a6b03a630d54d2f9a50f30fac056880_49">
        <w:r>
          <w:rPr>
            <w:rStyle w:val="InternetLink"/>
            <w:color w:val="0000FF"/>
            <w:u w:val="single"/>
          </w:rPr>
          <w:t xml:space="preserve"> </w:t>
        </w:r>
      </w:hyperlink>
      <w:hyperlink w:anchor="i9a6b03a630d54d2f9a50f30fac056880_49">
        <w:r>
          <w:rPr>
            <w:rStyle w:val="InternetLink"/>
            <w:rFonts w:ascii="Times New Roman;serif" w:hAnsi="Times New Roman;serif"/>
            <w:b w:val="false"/>
            <w:color w:val="0000FF"/>
            <w:sz w:val="20"/>
            <w:u w:val="single"/>
          </w:rPr>
          <w:t>Note 11. Other Results</w:t>
        </w:r>
      </w:hyperlink>
      <w:r>
        <w:rPr>
          <w:rFonts w:ascii="Times New Roman;serif" w:hAnsi="Times New Roman;serif"/>
          <w:b w:val="false"/>
          <w:color w:val="000000"/>
          <w:sz w:val="20"/>
        </w:rPr>
        <w:t>.</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(b) Key Management compensation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Group’s Executive Team and Director compensation was as follows:</w:t>
      </w:r>
    </w:p>
    <w:tbl>
      <w:tblPr>
        <w:tblW w:w="10205" w:type="dxa"/>
        <w:jc w:val="left"/>
        <w:tblInd w:w="0" w:type="dxa"/>
        <w:tblLayout w:type="fixed"/>
        <w:tblCellMar>
          <w:top w:w="28" w:type="dxa"/>
          <w:left w:w="28" w:type="dxa"/>
          <w:bottom w:w="28" w:type="dxa"/>
          <w:right w:w="28" w:type="dxa"/>
        </w:tblCellMar>
      </w:tblPr>
      <w:tblGrid>
        <w:gridCol w:w="1398"/>
        <w:gridCol w:w="1227"/>
        <w:gridCol w:w="1231"/>
        <w:gridCol w:w="109"/>
        <w:gridCol w:w="109"/>
        <w:gridCol w:w="109"/>
        <w:gridCol w:w="385"/>
        <w:gridCol w:w="383"/>
        <w:gridCol w:w="382"/>
        <w:gridCol w:w="164"/>
        <w:gridCol w:w="164"/>
        <w:gridCol w:w="164"/>
        <w:gridCol w:w="385"/>
        <w:gridCol w:w="383"/>
        <w:gridCol w:w="382"/>
        <w:gridCol w:w="109"/>
        <w:gridCol w:w="109"/>
        <w:gridCol w:w="109"/>
        <w:gridCol w:w="385"/>
        <w:gridCol w:w="383"/>
        <w:gridCol w:w="382"/>
        <w:gridCol w:w="183"/>
        <w:gridCol w:w="183"/>
        <w:gridCol w:w="183"/>
        <w:gridCol w:w="351"/>
        <w:gridCol w:w="349"/>
        <w:gridCol w:w="504"/>
      </w:tblGrid>
      <w:tr>
        <w:trPr/>
        <w:tc>
          <w:tcPr>
            <w:tcW w:w="139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9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4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85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employee benefits – Salaries and wages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38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9,233 </w:t>
            </w:r>
          </w:p>
        </w:tc>
        <w:tc>
          <w:tcPr>
            <w:tcW w:w="38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1,655 </w:t>
            </w:r>
          </w:p>
        </w:tc>
        <w:tc>
          <w:tcPr>
            <w:tcW w:w="38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4,847 </w:t>
            </w:r>
          </w:p>
        </w:tc>
        <w:tc>
          <w:tcPr>
            <w:tcW w:w="504"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employee benefits – Share-based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11,064</w:t>
            </w:r>
            <w:r>
              <w:rPr>
                <w:color w:val="494949"/>
              </w:rPr>
              <w:t> </w:t>
            </w:r>
          </w:p>
        </w:tc>
        <w:tc>
          <w:tcPr>
            <w:tcW w:w="382"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11,347</w:t>
            </w:r>
            <w:r>
              <w:rPr>
                <w:color w:val="494949"/>
              </w:rPr>
              <w:t> </w:t>
            </w:r>
          </w:p>
        </w:tc>
        <w:tc>
          <w:tcPr>
            <w:tcW w:w="382"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5,712</w:t>
            </w:r>
            <w:r>
              <w:rPr>
                <w:color w:val="494949"/>
              </w:rPr>
              <w:t> </w:t>
            </w:r>
          </w:p>
        </w:tc>
        <w:tc>
          <w:tcPr>
            <w:tcW w:w="382"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5,749</w:t>
            </w:r>
            <w:r>
              <w:rPr>
                <w:color w:val="494949"/>
              </w:rPr>
              <w:t> </w:t>
            </w:r>
          </w:p>
        </w:tc>
        <w:tc>
          <w:tcPr>
            <w:tcW w:w="504"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(c) Transactions with other related parties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transactions occurred with related parties:</w:t>
      </w:r>
    </w:p>
    <w:tbl>
      <w:tblPr>
        <w:tblW w:w="10205" w:type="dxa"/>
        <w:jc w:val="left"/>
        <w:tblInd w:w="0" w:type="dxa"/>
        <w:tblLayout w:type="fixed"/>
        <w:tblCellMar>
          <w:top w:w="28" w:type="dxa"/>
          <w:left w:w="28" w:type="dxa"/>
          <w:bottom w:w="28" w:type="dxa"/>
          <w:right w:w="28" w:type="dxa"/>
        </w:tblCellMar>
      </w:tblPr>
      <w:tblGrid>
        <w:gridCol w:w="1563"/>
        <w:gridCol w:w="1375"/>
        <w:gridCol w:w="1377"/>
        <w:gridCol w:w="109"/>
        <w:gridCol w:w="109"/>
        <w:gridCol w:w="109"/>
        <w:gridCol w:w="385"/>
        <w:gridCol w:w="360"/>
        <w:gridCol w:w="332"/>
        <w:gridCol w:w="152"/>
        <w:gridCol w:w="152"/>
        <w:gridCol w:w="152"/>
        <w:gridCol w:w="385"/>
        <w:gridCol w:w="339"/>
        <w:gridCol w:w="332"/>
        <w:gridCol w:w="109"/>
        <w:gridCol w:w="109"/>
        <w:gridCol w:w="109"/>
        <w:gridCol w:w="385"/>
        <w:gridCol w:w="339"/>
        <w:gridCol w:w="323"/>
        <w:gridCol w:w="167"/>
        <w:gridCol w:w="167"/>
        <w:gridCol w:w="167"/>
        <w:gridCol w:w="351"/>
        <w:gridCol w:w="321"/>
        <w:gridCol w:w="427"/>
      </w:tblGrid>
      <w:tr>
        <w:trPr/>
        <w:tc>
          <w:tcPr>
            <w:tcW w:w="15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56"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01"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3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merchants – Revenues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3,288 </w:t>
            </w:r>
          </w:p>
        </w:tc>
        <w:tc>
          <w:tcPr>
            <w:tcW w:w="33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332"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323"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427"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collection entities –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(20,623)</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(3,632)</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other related parties – Financial expenses (item (a))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(4,569)</w:t>
            </w:r>
          </w:p>
        </w:tc>
        <w:tc>
          <w:tcPr>
            <w:tcW w:w="33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(3,175)</w:t>
            </w:r>
          </w:p>
        </w:tc>
        <w:tc>
          <w:tcPr>
            <w:tcW w:w="42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pPr>
      <w:r>
        <w:rPr>
          <w:rFonts w:ascii="Times New Roman;serif" w:hAnsi="Times New Roman;serif"/>
          <w:b w:val="false"/>
          <w:color w:val="000000"/>
          <w:sz w:val="16"/>
        </w:rPr>
        <w:t xml:space="preserve">(1)   Foreign exchange losses not eliminated on the Unaudited Consolidated Condensed Interim Financial Statements, refer to </w:t>
      </w:r>
      <w:hyperlink w:anchor="i9a6b03a630d54d2f9a50f30fac056880_49">
        <w:r>
          <w:rPr>
            <w:rStyle w:val="InternetLink"/>
          </w:rPr>
          <w:t>N</w:t>
        </w:r>
      </w:hyperlink>
      <w:hyperlink w:anchor="i9a6b03a630d54d2f9a50f30fac056880_49">
        <w:r>
          <w:rPr>
            <w:rStyle w:val="InternetLink"/>
          </w:rPr>
          <w:t xml:space="preserve">ote 11. </w:t>
        </w:r>
      </w:hyperlink>
      <w:hyperlink w:anchor="i9a6b03a630d54d2f9a50f30fac056880_49">
        <w:r>
          <w:rPr>
            <w:rStyle w:val="InternetLink"/>
          </w:rPr>
          <w:t>Other results</w:t>
        </w:r>
      </w:hyperlink>
      <w:r>
        <w:rPr>
          <w:rFonts w:ascii="Times New Roman;serif" w:hAnsi="Times New Roman;serif"/>
          <w:b w:val="false"/>
          <w:color w:val="000000"/>
          <w:sz w:val="16"/>
        </w:rPr>
        <w:t>.</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(d) Outstanding balances arising from transactions with other related parties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balances are outstanding at the end of the reporting period in relation to transactions with related parties:</w:t>
      </w:r>
    </w:p>
    <w:tbl>
      <w:tblPr>
        <w:tblW w:w="8290" w:type="dxa"/>
        <w:jc w:val="left"/>
        <w:tblInd w:w="0" w:type="dxa"/>
        <w:tblLayout w:type="fixed"/>
        <w:tblCellMar>
          <w:top w:w="28" w:type="dxa"/>
          <w:left w:w="28" w:type="dxa"/>
          <w:bottom w:w="28" w:type="dxa"/>
          <w:right w:w="28" w:type="dxa"/>
        </w:tblCellMar>
      </w:tblPr>
      <w:tblGrid>
        <w:gridCol w:w="1729"/>
        <w:gridCol w:w="1525"/>
        <w:gridCol w:w="1530"/>
        <w:gridCol w:w="109"/>
        <w:gridCol w:w="109"/>
        <w:gridCol w:w="109"/>
        <w:gridCol w:w="384"/>
        <w:gridCol w:w="384"/>
        <w:gridCol w:w="386"/>
        <w:gridCol w:w="109"/>
        <w:gridCol w:w="109"/>
        <w:gridCol w:w="109"/>
        <w:gridCol w:w="514"/>
        <w:gridCol w:w="514"/>
        <w:gridCol w:w="516"/>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with merchants – trade payables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38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(1,738)</w:t>
            </w:r>
          </w:p>
        </w:tc>
        <w:tc>
          <w:tcPr>
            <w:tcW w:w="516"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with collection entities –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with collection entities – Trade receivables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10,118 </w:t>
            </w:r>
          </w:p>
        </w:tc>
        <w:tc>
          <w:tcPr>
            <w:tcW w:w="38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12,012 </w:t>
            </w:r>
          </w:p>
        </w:tc>
        <w:tc>
          <w:tcPr>
            <w:tcW w:w="5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Balances with collection entities – Advances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11,986 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All transactions with related parties were made on normal commercial terms and conditions and at market rates. Outstanding balances are unsecured and are repayable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66750"/>
                <wp:effectExtent l="0" t="0" r="0" b="0"/>
                <wp:wrapNone/>
                <wp:docPr id="39" name="Frame38"/>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26</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26. Fair value hierarchy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show financial instruments recognized at fair value for the period ended June 30, 2026 and December 31, 2025, analyzed between those whose fair value is based 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1: quoted (unadjusted) prices in active markets for identical assets or liabilities.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2: other techniques for which all inputs which have a significant effect on the recorded fair value are observable, either directly or indirectly.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3: techniques which use inputs which have a significant effect on the recorded fair value that are not based upon observable market data.</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table also includes financial instruments measured at amortized cost. The Group determined that the book value of such instruments approximates their fair value.</w:t>
      </w:r>
    </w:p>
    <w:tbl>
      <w:tblPr>
        <w:tblW w:w="9007" w:type="dxa"/>
        <w:jc w:val="left"/>
        <w:tblInd w:w="0" w:type="dxa"/>
        <w:tblLayout w:type="fixed"/>
        <w:tblCellMar>
          <w:top w:w="28" w:type="dxa"/>
          <w:left w:w="28" w:type="dxa"/>
          <w:bottom w:w="28" w:type="dxa"/>
          <w:right w:w="28" w:type="dxa"/>
        </w:tblCellMar>
      </w:tblPr>
      <w:tblGrid>
        <w:gridCol w:w="950"/>
        <w:gridCol w:w="837"/>
        <w:gridCol w:w="838"/>
        <w:gridCol w:w="109"/>
        <w:gridCol w:w="109"/>
        <w:gridCol w:w="109"/>
        <w:gridCol w:w="330"/>
        <w:gridCol w:w="331"/>
        <w:gridCol w:w="191"/>
        <w:gridCol w:w="109"/>
        <w:gridCol w:w="109"/>
        <w:gridCol w:w="109"/>
        <w:gridCol w:w="495"/>
        <w:gridCol w:w="419"/>
        <w:gridCol w:w="421"/>
        <w:gridCol w:w="109"/>
        <w:gridCol w:w="109"/>
        <w:gridCol w:w="109"/>
        <w:gridCol w:w="442"/>
        <w:gridCol w:w="444"/>
        <w:gridCol w:w="171"/>
        <w:gridCol w:w="109"/>
        <w:gridCol w:w="109"/>
        <w:gridCol w:w="109"/>
        <w:gridCol w:w="214"/>
        <w:gridCol w:w="214"/>
        <w:gridCol w:w="216"/>
        <w:gridCol w:w="109"/>
        <w:gridCol w:w="109"/>
        <w:gridCol w:w="109"/>
        <w:gridCol w:w="285"/>
        <w:gridCol w:w="286"/>
        <w:gridCol w:w="288"/>
      </w:tblGrid>
      <w:tr>
        <w:trPr/>
        <w:tc>
          <w:tcPr>
            <w:tcW w:w="95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FVPL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37,842 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757,101 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794,943 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demand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757,101 </w:t>
            </w:r>
          </w:p>
        </w:tc>
        <w:tc>
          <w:tcPr>
            <w:tcW w:w="42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757,101 </w:t>
            </w:r>
          </w:p>
        </w:tc>
        <w:tc>
          <w:tcPr>
            <w:tcW w:w="171"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 and others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37,842 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37,842 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79,214 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6,189 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24,648 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30,837 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6,189 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1,174,193 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1,174,193 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 (1)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44,200</w:t>
            </w:r>
            <w:r>
              <w:rPr>
                <w:color w:val="494949"/>
              </w:rPr>
              <w:t> </w:t>
            </w:r>
          </w:p>
        </w:tc>
        <w:tc>
          <w:tcPr>
            <w:tcW w:w="19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2,035,156</w:t>
            </w:r>
            <w:r>
              <w:rPr>
                <w:color w:val="494949"/>
              </w:rPr>
              <w:t> </w:t>
            </w:r>
          </w:p>
        </w:tc>
        <w:tc>
          <w:tcPr>
            <w:tcW w:w="42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2,079,356</w:t>
            </w:r>
            <w:r>
              <w:rPr>
                <w:color w:val="494949"/>
              </w:rPr>
              <w:t> </w:t>
            </w:r>
          </w:p>
        </w:tc>
        <w:tc>
          <w:tcPr>
            <w:tcW w:w="171"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494949"/>
              </w:rPr>
            </w:pPr>
            <w:r>
              <w:rPr>
                <w:color w:val="494949"/>
              </w:rPr>
              <w:t>— </w:t>
            </w:r>
          </w:p>
        </w:tc>
        <w:tc>
          <w:tcPr>
            <w:tcW w:w="216"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6,358</w:t>
            </w:r>
            <w:r>
              <w:rPr>
                <w:color w:val="494949"/>
              </w:rPr>
              <w:t> </w:t>
            </w:r>
          </w:p>
        </w:tc>
        <w:tc>
          <w:tcPr>
            <w:tcW w:w="288"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color w:val="FF0090"/>
        </w:rPr>
      </w:pPr>
      <w:r>
        <w:rPr>
          <w:color w:val="FF0090"/>
        </w:rPr>
        <w:t>    </w:t>
      </w:r>
    </w:p>
    <w:tbl>
      <w:tblPr>
        <w:tblW w:w="9447" w:type="dxa"/>
        <w:jc w:val="left"/>
        <w:tblInd w:w="0" w:type="dxa"/>
        <w:tblLayout w:type="fixed"/>
        <w:tblCellMar>
          <w:top w:w="28" w:type="dxa"/>
          <w:left w:w="28" w:type="dxa"/>
          <w:bottom w:w="28" w:type="dxa"/>
          <w:right w:w="28" w:type="dxa"/>
        </w:tblCellMar>
      </w:tblPr>
      <w:tblGrid>
        <w:gridCol w:w="951"/>
        <w:gridCol w:w="835"/>
        <w:gridCol w:w="838"/>
        <w:gridCol w:w="109"/>
        <w:gridCol w:w="109"/>
        <w:gridCol w:w="109"/>
        <w:gridCol w:w="109"/>
        <w:gridCol w:w="330"/>
        <w:gridCol w:w="331"/>
        <w:gridCol w:w="191"/>
        <w:gridCol w:w="109"/>
        <w:gridCol w:w="109"/>
        <w:gridCol w:w="109"/>
        <w:gridCol w:w="504"/>
        <w:gridCol w:w="419"/>
        <w:gridCol w:w="421"/>
        <w:gridCol w:w="109"/>
        <w:gridCol w:w="109"/>
        <w:gridCol w:w="109"/>
        <w:gridCol w:w="443"/>
        <w:gridCol w:w="443"/>
        <w:gridCol w:w="171"/>
        <w:gridCol w:w="109"/>
        <w:gridCol w:w="109"/>
        <w:gridCol w:w="109"/>
        <w:gridCol w:w="330"/>
        <w:gridCol w:w="331"/>
        <w:gridCol w:w="216"/>
        <w:gridCol w:w="109"/>
        <w:gridCol w:w="109"/>
        <w:gridCol w:w="109"/>
        <w:gridCol w:w="330"/>
        <w:gridCol w:w="331"/>
        <w:gridCol w:w="288"/>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FVPL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r>
      <w:tr>
        <w:trPr/>
        <w:tc>
          <w:tcPr>
            <w:tcW w:w="2624"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666,227 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719,897 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demand deposit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666,227 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 and others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53,670 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88,193 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30,126 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5,095 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35,221 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30,126 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598,006 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598,006 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 (1)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94,832</w:t>
            </w:r>
            <w:r>
              <w:rPr>
                <w:color w:val="494949"/>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1,357,521</w:t>
            </w:r>
            <w:r>
              <w:rPr>
                <w:color w:val="494949"/>
              </w:rPr>
              <w:t>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1,452,353</w:t>
            </w:r>
            <w:r>
              <w:rPr>
                <w:color w:val="494949"/>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64,566</w:t>
            </w:r>
            <w:r>
              <w:rPr>
                <w:color w:val="494949"/>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30,266</w:t>
            </w:r>
            <w:r>
              <w:rPr>
                <w:color w:val="494949"/>
              </w:rPr>
              <w:t>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26" w:type="dxa"/>
        <w:jc w:val="left"/>
        <w:tblInd w:w="0" w:type="dxa"/>
        <w:tblLayout w:type="fixed"/>
        <w:tblCellMar>
          <w:top w:w="28" w:type="dxa"/>
          <w:left w:w="28" w:type="dxa"/>
          <w:bottom w:w="28" w:type="dxa"/>
          <w:right w:w="28" w:type="dxa"/>
        </w:tblCellMar>
      </w:tblPr>
      <w:tblGrid>
        <w:gridCol w:w="950"/>
        <w:gridCol w:w="836"/>
        <w:gridCol w:w="838"/>
        <w:gridCol w:w="109"/>
        <w:gridCol w:w="109"/>
        <w:gridCol w:w="109"/>
        <w:gridCol w:w="314"/>
        <w:gridCol w:w="316"/>
        <w:gridCol w:w="191"/>
        <w:gridCol w:w="109"/>
        <w:gridCol w:w="109"/>
        <w:gridCol w:w="109"/>
        <w:gridCol w:w="473"/>
        <w:gridCol w:w="473"/>
        <w:gridCol w:w="421"/>
        <w:gridCol w:w="109"/>
        <w:gridCol w:w="109"/>
        <w:gridCol w:w="109"/>
        <w:gridCol w:w="473"/>
        <w:gridCol w:w="473"/>
        <w:gridCol w:w="171"/>
        <w:gridCol w:w="109"/>
        <w:gridCol w:w="109"/>
        <w:gridCol w:w="109"/>
        <w:gridCol w:w="214"/>
        <w:gridCol w:w="214"/>
        <w:gridCol w:w="216"/>
        <w:gridCol w:w="109"/>
        <w:gridCol w:w="109"/>
        <w:gridCol w:w="109"/>
        <w:gridCol w:w="314"/>
        <w:gridCol w:w="316"/>
        <w:gridCol w:w="288"/>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FVPL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payables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(1,554,943)</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(1,554,943)</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(64,632)</w:t>
            </w:r>
          </w:p>
        </w:tc>
        <w:tc>
          <w:tcPr>
            <w:tcW w:w="42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(64,632)</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(2,739)</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(1,928)</w:t>
            </w:r>
          </w:p>
        </w:tc>
        <w:tc>
          <w:tcPr>
            <w:tcW w:w="191"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(1,622,314)</w:t>
            </w:r>
          </w:p>
        </w:tc>
        <w:tc>
          <w:tcPr>
            <w:tcW w:w="421"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(1,624,242)</w:t>
            </w:r>
          </w:p>
        </w:tc>
        <w:tc>
          <w:tcPr>
            <w:tcW w:w="171"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color w:val="494949"/>
              </w:rPr>
            </w:pPr>
            <w:r>
              <w:rPr>
                <w:color w:val="494949"/>
              </w:rPr>
              <w:t>— </w:t>
            </w:r>
          </w:p>
        </w:tc>
        <w:tc>
          <w:tcPr>
            <w:tcW w:w="216"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(1,928)</w:t>
            </w:r>
          </w:p>
        </w:tc>
        <w:tc>
          <w:tcPr>
            <w:tcW w:w="288" w:type="dxa"/>
            <w:tcBorders>
              <w:top w:val="single" w:sz="8" w:space="0" w:color="6D6D6D"/>
              <w:bottom w:val="double" w:sz="8" w:space="0" w:color="6D6D6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66750"/>
                <wp:effectExtent l="0" t="0" r="0" b="0"/>
                <wp:wrapNone/>
                <wp:docPr id="40" name="Frame39"/>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27</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740" w:type="dxa"/>
        <w:jc w:val="left"/>
        <w:tblInd w:w="0" w:type="dxa"/>
        <w:tblLayout w:type="fixed"/>
        <w:tblCellMar>
          <w:top w:w="28" w:type="dxa"/>
          <w:left w:w="28" w:type="dxa"/>
          <w:bottom w:w="28" w:type="dxa"/>
          <w:right w:w="28" w:type="dxa"/>
        </w:tblCellMar>
      </w:tblPr>
      <w:tblGrid>
        <w:gridCol w:w="951"/>
        <w:gridCol w:w="835"/>
        <w:gridCol w:w="839"/>
        <w:gridCol w:w="109"/>
        <w:gridCol w:w="109"/>
        <w:gridCol w:w="109"/>
        <w:gridCol w:w="314"/>
        <w:gridCol w:w="316"/>
        <w:gridCol w:w="191"/>
        <w:gridCol w:w="109"/>
        <w:gridCol w:w="109"/>
        <w:gridCol w:w="109"/>
        <w:gridCol w:w="404"/>
        <w:gridCol w:w="406"/>
        <w:gridCol w:w="306"/>
        <w:gridCol w:w="109"/>
        <w:gridCol w:w="109"/>
        <w:gridCol w:w="109"/>
        <w:gridCol w:w="404"/>
        <w:gridCol w:w="406"/>
        <w:gridCol w:w="171"/>
        <w:gridCol w:w="109"/>
        <w:gridCol w:w="109"/>
        <w:gridCol w:w="109"/>
        <w:gridCol w:w="214"/>
        <w:gridCol w:w="214"/>
        <w:gridCol w:w="216"/>
        <w:gridCol w:w="109"/>
        <w:gridCol w:w="109"/>
        <w:gridCol w:w="109"/>
        <w:gridCol w:w="314"/>
        <w:gridCol w:w="316"/>
        <w:gridCol w:w="288"/>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FVPL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r>
      <w:tr>
        <w:trPr/>
        <w:tc>
          <w:tcPr>
            <w:tcW w:w="2625"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payables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(854,436)</w:t>
            </w:r>
          </w:p>
        </w:tc>
        <w:tc>
          <w:tcPr>
            <w:tcW w:w="3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(854,436)</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liabilities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(86,898)</w:t>
            </w:r>
          </w:p>
        </w:tc>
        <w:tc>
          <w:tcPr>
            <w:tcW w:w="3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(86,898)</w:t>
            </w:r>
          </w:p>
        </w:tc>
        <w:tc>
          <w:tcPr>
            <w:tcW w:w="1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(1,567)</w:t>
            </w:r>
          </w:p>
        </w:tc>
        <w:tc>
          <w:tcPr>
            <w:tcW w:w="19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(944,719)</w:t>
            </w:r>
          </w:p>
        </w:tc>
        <w:tc>
          <w:tcPr>
            <w:tcW w:w="30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(946,286)</w:t>
            </w:r>
          </w:p>
        </w:tc>
        <w:tc>
          <w:tcPr>
            <w:tcW w:w="171"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color w:val="494949"/>
              </w:rPr>
            </w:pPr>
            <w:r>
              <w:rPr>
                <w:color w:val="494949"/>
              </w:rPr>
              <w:t>— </w:t>
            </w:r>
          </w:p>
        </w:tc>
        <w:tc>
          <w:tcPr>
            <w:tcW w:w="216"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494949"/>
                <w:sz w:val="18"/>
              </w:rPr>
            </w:pPr>
            <w:r>
              <w:rPr>
                <w:rFonts w:ascii="Times New Roman;serif" w:hAnsi="Times New Roman;serif"/>
                <w:b/>
                <w:color w:val="494949"/>
                <w:sz w:val="18"/>
              </w:rPr>
              <w:t>(1,567)</w:t>
            </w:r>
          </w:p>
        </w:tc>
        <w:tc>
          <w:tcPr>
            <w:tcW w:w="288"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most frequently applied valuation techniques include forward pricing models. The models incorporate various inputs including: foreign exchange spot, interest rates curves of the respective currencies and the terms of the contract.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There were no changes of items between level 2 and level 3, acquisitions, disposals nor gains or losses recognized in profit for the period related to level 3 instruments. Consequently, for the periods ended June 30, 2026 and December 31, 2025, the Group did not recognize any financial assets under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4"/>
        </w:rPr>
      </w:pPr>
      <w:r>
        <w:rPr>
          <w:rFonts w:ascii="Times New Roman;serif" w:hAnsi="Times New Roman;serif"/>
          <w:b/>
          <w:color w:val="000000"/>
          <w:sz w:val="24"/>
        </w:rPr>
        <w:t>27. Business Combination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January 06, 2026, the Group exercised a call option originally entered on November 27, 2024. On February 27, 2026 (“Acquisition date”), all the precedent conditions, including all the regulatory approvals were obtained and the Group obtained control over Mint Code Solutions Cameroon (“Mint Code”) and the following assets pertaining to NeWurth S.A. (“NeWurth”), a Luxembourg-incorporated African fintech company operating under the brand “AZA Finance,” which provides fiat-to-fiat cross-border payment, treasury and FX services across the South African region (“The transaction”) :</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100% of issued share capital of Mint Code Solutions S.A., Cameroon (“Mint Code”) and Mint Code License;</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NeWurth’s intellectual property; and</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Customer relationships.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acquisition was undertaken to enhance the Group’s cross-border payment capabilities and accelerate its strategic expansion across key African markets.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was accounted for as a business combination in accordance with IFRS 3 Business Combinations, refer to the Group’s accounting policy in note 2.1.1 Business combination.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 Consideration transferred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total consideration transferred of US$23,742 was settled entirely through the extinguishment of NeWurth’s obligations under the Group’s credit facility agreements. No cash was paid to NeWurth. The consideration is comprised as follows:</w:t>
      </w:r>
    </w:p>
    <w:tbl>
      <w:tblPr>
        <w:tblW w:w="6580" w:type="dxa"/>
        <w:jc w:val="left"/>
        <w:tblInd w:w="0" w:type="dxa"/>
        <w:tblLayout w:type="fixed"/>
        <w:tblCellMar>
          <w:top w:w="28" w:type="dxa"/>
          <w:left w:w="28" w:type="dxa"/>
          <w:bottom w:w="28" w:type="dxa"/>
          <w:right w:w="28" w:type="dxa"/>
        </w:tblCellMar>
      </w:tblPr>
      <w:tblGrid>
        <w:gridCol w:w="1704"/>
        <w:gridCol w:w="1498"/>
        <w:gridCol w:w="1507"/>
        <w:gridCol w:w="109"/>
        <w:gridCol w:w="109"/>
        <w:gridCol w:w="109"/>
        <w:gridCol w:w="452"/>
        <w:gridCol w:w="452"/>
        <w:gridCol w:w="640"/>
      </w:tblGrid>
      <w:tr>
        <w:trPr/>
        <w:tc>
          <w:tcPr>
            <w:tcW w:w="170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6D6D6D"/>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February 27, 2026</w:t>
            </w:r>
          </w:p>
        </w:tc>
      </w:tr>
      <w:tr>
        <w:trPr/>
        <w:tc>
          <w:tcPr>
            <w:tcW w:w="4709"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credit facility principal amount as of acquisition date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22,285</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unpaid interest in the credit facility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Trade payable Newurth’s subsidiary offset </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64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23,742</w:t>
            </w:r>
            <w:r>
              <w:rPr>
                <w:color w:val="494949"/>
              </w:rPr>
              <w:t> </w:t>
            </w:r>
          </w:p>
        </w:tc>
        <w:tc>
          <w:tcPr>
            <w:tcW w:w="640" w:type="dxa"/>
            <w:tcBorders>
              <w:top w:val="single" w:sz="8" w:space="0" w:color="6D6D6D"/>
              <w:bottom w:val="double" w:sz="8" w:space="0" w:color="6D6D6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Pursuant to the Framework Agreement executed on 6 January 2026, the total outstanding credit facility and accrued interest under the facility agreements were irrevocably waived, released and discharged as full payment for the call option consideration. The total outstanding amount of US$24,242 was reduced by US$500 representing a trade payable owed by the Group to NeWurth’s subsidiary, which was offset against the total outstanding credit facility agreements, resulting in a net consideration of US$23,742.</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 Recognized amounts of identifiable assets acquired and liabilities assumed</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fair values of identifiable assets acquired, and liabilities assumed at the acquisition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66750"/>
                <wp:effectExtent l="0" t="0" r="0" b="0"/>
                <wp:wrapNone/>
                <wp:docPr id="41" name="Frame40"/>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28</w:t>
                            </w:r>
                          </w:p>
                        </w:tc>
                      </w:tr>
                    </w:tbl>
                    <w:p>
                      <w:pPr>
                        <w:pStyle w:val="TextBody"/>
                        <w:bidi w:val="0"/>
                        <w:spacing w:before="0" w:after="283"/>
                        <w:jc w:val="left"/>
                        <w:rPr/>
                      </w:pPr>
                      <w:r>
                        <w:rPr/>
                      </w:r>
                    </w:p>
                  </w:txbxContent>
                </v:textbox>
                <w10:wrap type="none"/>
              </v:rect>
            </w:pict>
          </mc:Fallback>
        </mc:AlternateContent>
      </w:r>
    </w:p>
    <w:tbl>
      <w:tblPr>
        <w:tblW w:w="7674" w:type="dxa"/>
        <w:jc w:val="left"/>
        <w:tblInd w:w="0" w:type="dxa"/>
        <w:tblLayout w:type="fixed"/>
        <w:tblCellMar>
          <w:top w:w="28" w:type="dxa"/>
          <w:left w:w="28" w:type="dxa"/>
          <w:bottom w:w="28" w:type="dxa"/>
          <w:right w:w="28" w:type="dxa"/>
        </w:tblCellMar>
      </w:tblPr>
      <w:tblGrid>
        <w:gridCol w:w="2525"/>
        <w:gridCol w:w="2219"/>
        <w:gridCol w:w="2231"/>
        <w:gridCol w:w="109"/>
        <w:gridCol w:w="109"/>
        <w:gridCol w:w="109"/>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DLocal Limited</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Notes to the Unaudited Consolidated Condensed Interim Financial Statements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June 30, 2026</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amounts in thousands of U.S. Dollars except share data, par value or as otherwise indicated)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26" w:type="dxa"/>
        <w:jc w:val="left"/>
        <w:tblInd w:w="0" w:type="dxa"/>
        <w:tblLayout w:type="fixed"/>
        <w:tblCellMar>
          <w:top w:w="28" w:type="dxa"/>
          <w:left w:w="28" w:type="dxa"/>
          <w:bottom w:w="28" w:type="dxa"/>
          <w:right w:w="28" w:type="dxa"/>
        </w:tblCellMar>
      </w:tblPr>
      <w:tblGrid>
        <w:gridCol w:w="961"/>
        <w:gridCol w:w="845"/>
        <w:gridCol w:w="849"/>
        <w:gridCol w:w="109"/>
        <w:gridCol w:w="109"/>
        <w:gridCol w:w="109"/>
        <w:gridCol w:w="452"/>
        <w:gridCol w:w="452"/>
        <w:gridCol w:w="640"/>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February 27, 2026</w:t>
            </w:r>
          </w:p>
        </w:tc>
      </w:tr>
      <w:tr>
        <w:trPr/>
        <w:tc>
          <w:tcPr>
            <w:tcW w:w="2655"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Intangible 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6D6D6D"/>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14,220</w:t>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Intellectual property</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2,048</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Mint code License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16,388</w:t>
            </w:r>
            <w:r>
              <w:rPr>
                <w:color w:val="494949"/>
              </w:rPr>
              <w:t> </w:t>
            </w:r>
          </w:p>
        </w:tc>
        <w:tc>
          <w:tcPr>
            <w:tcW w:w="64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net identifiable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net identifiable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804</w:t>
            </w:r>
            <w:r>
              <w:rPr>
                <w:color w:val="494949"/>
              </w:rPr>
              <w:t> </w:t>
            </w:r>
          </w:p>
        </w:tc>
        <w:tc>
          <w:tcPr>
            <w:tcW w:w="640"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net identifiable assets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17,192</w:t>
            </w:r>
            <w:r>
              <w:rPr>
                <w:color w:val="494949"/>
              </w:rPr>
              <w:t> </w:t>
            </w:r>
          </w:p>
        </w:tc>
        <w:tc>
          <w:tcPr>
            <w:tcW w:w="640" w:type="dxa"/>
            <w:tcBorders>
              <w:top w:val="single" w:sz="8" w:space="0" w:color="6D6D6D"/>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6D6D6D"/>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6,550</w:t>
            </w:r>
          </w:p>
        </w:tc>
      </w:tr>
      <w:tr>
        <w:trPr/>
        <w:tc>
          <w:tcPr>
            <w:tcW w:w="26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consideration transferred</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23,742</w:t>
            </w:r>
            <w:r>
              <w:rPr>
                <w:color w:val="494949"/>
              </w:rPr>
              <w:t> </w:t>
            </w:r>
          </w:p>
        </w:tc>
        <w:tc>
          <w:tcPr>
            <w:tcW w:w="64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 The excess of the purchase consideration over the fair value of net identifiable assets acquired was recorded as goodwill in a total amount of US$6,550, primarily attributable to the significant synergies expected to arise from the acquisition, including the integration with NeWurth’s South African and other countries presence with the Group’s existing payment infrastructure. Goodwill will not be deductible for tax purposes.</w:t>
      </w:r>
    </w:p>
    <w:p>
      <w:pPr>
        <w:pStyle w:val="TextBody"/>
        <w:bidi w:val="0"/>
        <w:spacing w:before="0" w:after="40"/>
        <w:ind w:left="0" w:right="0" w:hanging="360"/>
        <w:jc w:val="both"/>
        <w:rPr/>
      </w:pPr>
      <w:r>
        <w:rPr/>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allocation of the purchase price for this acquisition has been prepared on a preliminary basis and changes to the allocation to certain assets and liabilities may occur as additional information becomes available throughout the measurement period, which according to IFRS 3, paragraph 45, will not exceed 12 months from the acquisition date.</w:t>
      </w:r>
    </w:p>
    <w:p>
      <w:pPr>
        <w:pStyle w:val="TextBody"/>
        <w:bidi w:val="0"/>
        <w:spacing w:before="0" w:after="0"/>
        <w:jc w:val="both"/>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 Cash flow from acquisition</w:t>
      </w:r>
    </w:p>
    <w:tbl>
      <w:tblPr>
        <w:tblW w:w="5426" w:type="dxa"/>
        <w:jc w:val="left"/>
        <w:tblInd w:w="0" w:type="dxa"/>
        <w:tblLayout w:type="fixed"/>
        <w:tblCellMar>
          <w:top w:w="28" w:type="dxa"/>
          <w:left w:w="28" w:type="dxa"/>
          <w:bottom w:w="28" w:type="dxa"/>
          <w:right w:w="28" w:type="dxa"/>
        </w:tblCellMar>
      </w:tblPr>
      <w:tblGrid>
        <w:gridCol w:w="1286"/>
        <w:gridCol w:w="1131"/>
        <w:gridCol w:w="1138"/>
        <w:gridCol w:w="109"/>
        <w:gridCol w:w="109"/>
        <w:gridCol w:w="109"/>
        <w:gridCol w:w="452"/>
        <w:gridCol w:w="452"/>
        <w:gridCol w:w="640"/>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February 27, 2026</w:t>
            </w:r>
          </w:p>
        </w:tc>
      </w:tr>
      <w:tr>
        <w:trPr/>
        <w:tc>
          <w:tcPr>
            <w:tcW w:w="3555"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acquired (Mint Code)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consideration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5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inflow from acquisition</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494949"/>
                <w:sz w:val="18"/>
              </w:rPr>
              <w:t>791</w:t>
            </w:r>
            <w:r>
              <w:rPr>
                <w:color w:val="494949"/>
              </w:rPr>
              <w:t> </w:t>
            </w:r>
          </w:p>
        </w:tc>
        <w:tc>
          <w:tcPr>
            <w:tcW w:w="640" w:type="dxa"/>
            <w:tcBorders>
              <w:top w:val="single" w:sz="8" w:space="0" w:color="6D6D6D"/>
              <w:bottom w:val="double" w:sz="8" w:space="0" w:color="6D6D6D"/>
            </w:tcBorders>
            <w:shd w:fill="F2F2F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No cash was transferred to NeWurth as consideration, once the total consideration was paid through the credit facility agreements previously provided. The cash and cash equivalents acquired relate exclusively to the balance held by Mint Code Solutions S.A., Cameroon at the acquisition date.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 Contribution to Group results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From the acquisition date February 27, 2026 to June 30, 2026 and for six-months period ended on June 30, 2026, the acquired NeWurth business contributed revenue and gross profit was not material.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 Acquisition-related costs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Acquisition-related costs of US$326 have been recognized in other operating expenses in the condensed consolidated statement of profit or loss for the six months ended June 30, 2026 (US$2.320 acquisition-related costs in 2025). These costs are presented within operating cash flows in the condensed consolidated statement of cash flows.</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66750"/>
                <wp:effectExtent l="0" t="0" r="0" b="0"/>
                <wp:wrapNone/>
                <wp:docPr id="42" name="Frame41"/>
                <a:graphic xmlns:a="http://schemas.openxmlformats.org/drawingml/2006/main">
                  <a:graphicData uri="http://schemas.microsoft.com/office/word/2010/wordprocessingShape">
                    <wps:wsp>
                      <wps:cNvSpPr txBox="1"/>
                      <wps:spPr>
                        <a:xfrm>
                          <a:off x="0" y="0"/>
                          <a:ext cx="6480175" cy="6667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1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12" w:space="0" w:color="929292"/>
                            </w:tcBorders>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3"/>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4"/>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4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 descr=""/>
                    <pic:cNvPicPr>
                      <a:picLocks noChangeAspect="1" noChangeArrowheads="1"/>
                    </pic:cNvPicPr>
                  </pic:nvPicPr>
                  <pic:blipFill>
                    <a:blip r:embed="rId5"/>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6"/>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5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7"/>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52"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7" descr=""/>
                    <pic:cNvPicPr>
                      <a:picLocks noChangeAspect="1" noChangeArrowheads="1"/>
                    </pic:cNvPicPr>
                  </pic:nvPicPr>
                  <pic:blipFill>
                    <a:blip r:embed="rId8"/>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54"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8" descr=""/>
                    <pic:cNvPicPr>
                      <a:picLocks noChangeAspect="1" noChangeArrowheads="1"/>
                    </pic:cNvPicPr>
                  </pic:nvPicPr>
                  <pic:blipFill>
                    <a:blip r:embed="rId9"/>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56"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10"/>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58"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11"/>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6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1" descr=""/>
                    <pic:cNvPicPr>
                      <a:picLocks noChangeAspect="1" noChangeArrowheads="1"/>
                    </pic:cNvPicPr>
                  </pic:nvPicPr>
                  <pic:blipFill>
                    <a:blip r:embed="rId12"/>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6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2" descr=""/>
                    <pic:cNvPicPr>
                      <a:picLocks noChangeAspect="1" noChangeArrowheads="1"/>
                    </pic:cNvPicPr>
                  </pic:nvPicPr>
                  <pic:blipFill>
                    <a:blip r:embed="rId13"/>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6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3" descr=""/>
                    <pic:cNvPicPr>
                      <a:picLocks noChangeAspect="1" noChangeArrowheads="1"/>
                    </pic:cNvPicPr>
                  </pic:nvPicPr>
                  <pic:blipFill>
                    <a:blip r:embed="rId14"/>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6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4" descr=""/>
                    <pic:cNvPicPr>
                      <a:picLocks noChangeAspect="1" noChangeArrowheads="1"/>
                    </pic:cNvPicPr>
                  </pic:nvPicPr>
                  <pic:blipFill>
                    <a:blip r:embed="rId15"/>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6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6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5" descr=""/>
                    <pic:cNvPicPr>
                      <a:picLocks noChangeAspect="1" noChangeArrowheads="1"/>
                    </pic:cNvPicPr>
                  </pic:nvPicPr>
                  <pic:blipFill>
                    <a:blip r:embed="rId16"/>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70"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6" descr=""/>
                    <pic:cNvPicPr>
                      <a:picLocks noChangeAspect="1" noChangeArrowheads="1"/>
                    </pic:cNvPicPr>
                  </pic:nvPicPr>
                  <pic:blipFill>
                    <a:blip r:embed="rId17"/>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72"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7" descr=""/>
                    <pic:cNvPicPr>
                      <a:picLocks noChangeAspect="1" noChangeArrowheads="1"/>
                    </pic:cNvPicPr>
                  </pic:nvPicPr>
                  <pic:blipFill>
                    <a:blip r:embed="rId18"/>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74"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8" descr=""/>
                    <pic:cNvPicPr>
                      <a:picLocks noChangeAspect="1" noChangeArrowheads="1"/>
                    </pic:cNvPicPr>
                  </pic:nvPicPr>
                  <pic:blipFill>
                    <a:blip r:embed="rId19"/>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76"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9" descr=""/>
                    <pic:cNvPicPr>
                      <a:picLocks noChangeAspect="1" noChangeArrowheads="1"/>
                    </pic:cNvPicPr>
                  </pic:nvPicPr>
                  <pic:blipFill>
                    <a:blip r:embed="rId20"/>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78"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7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0" descr=""/>
                    <pic:cNvPicPr>
                      <a:picLocks noChangeAspect="1" noChangeArrowheads="1"/>
                    </pic:cNvPicPr>
                  </pic:nvPicPr>
                  <pic:blipFill>
                    <a:blip r:embed="rId21"/>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8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1" descr=""/>
                    <pic:cNvPicPr>
                      <a:picLocks noChangeAspect="1" noChangeArrowheads="1"/>
                    </pic:cNvPicPr>
                  </pic:nvPicPr>
                  <pic:blipFill>
                    <a:blip r:embed="rId22"/>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8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2" descr=""/>
                    <pic:cNvPicPr>
                      <a:picLocks noChangeAspect="1" noChangeArrowheads="1"/>
                    </pic:cNvPicPr>
                  </pic:nvPicPr>
                  <pic:blipFill>
                    <a:blip r:embed="rId23"/>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8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3" descr=""/>
                    <pic:cNvPicPr>
                      <a:picLocks noChangeAspect="1" noChangeArrowheads="1"/>
                    </pic:cNvPicPr>
                  </pic:nvPicPr>
                  <pic:blipFill>
                    <a:blip r:embed="rId24"/>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8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4" descr=""/>
                    <pic:cNvPicPr>
                      <a:picLocks noChangeAspect="1" noChangeArrowheads="1"/>
                    </pic:cNvPicPr>
                  </pic:nvPicPr>
                  <pic:blipFill>
                    <a:blip r:embed="rId25"/>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8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8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5" descr=""/>
                    <pic:cNvPicPr>
                      <a:picLocks noChangeAspect="1" noChangeArrowheads="1"/>
                    </pic:cNvPicPr>
                  </pic:nvPicPr>
                  <pic:blipFill>
                    <a:blip r:embed="rId26"/>
                    <a:stretch>
                      <a:fillRect/>
                    </a:stretch>
                  </pic:blipFill>
                  <pic:spPr bwMode="auto">
                    <a:xfrm>
                      <a:off x="0" y="0"/>
                      <a:ext cx="592455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90"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5924550" cy="8229600"/>
            <wp:effectExtent l="0" t="0" r="0" b="0"/>
            <wp:docPr id="9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6" descr=""/>
                    <pic:cNvPicPr>
                      <a:picLocks noChangeAspect="1" noChangeArrowheads="1"/>
                    </pic:cNvPicPr>
                  </pic:nvPicPr>
                  <pic:blipFill>
                    <a:blip r:embed="rId27"/>
                    <a:stretch>
                      <a:fillRect/>
                    </a:stretch>
                  </pic:blipFill>
                  <pic:spPr bwMode="auto">
                    <a:xfrm>
                      <a:off x="0" y="0"/>
                      <a:ext cx="5924550" cy="82296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92"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9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7" descr=""/>
                    <pic:cNvPicPr>
                      <a:picLocks noChangeAspect="1" noChangeArrowheads="1"/>
                    </pic:cNvPicPr>
                  </pic:nvPicPr>
                  <pic:blipFill>
                    <a:blip r:embed="rId28"/>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9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9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8" descr=""/>
                    <pic:cNvPicPr>
                      <a:picLocks noChangeAspect="1" noChangeArrowheads="1"/>
                    </pic:cNvPicPr>
                  </pic:nvPicPr>
                  <pic:blipFill>
                    <a:blip r:embed="rId29"/>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96"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9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9" descr=""/>
                    <pic:cNvPicPr>
                      <a:picLocks noChangeAspect="1" noChangeArrowheads="1"/>
                    </pic:cNvPicPr>
                  </pic:nvPicPr>
                  <pic:blipFill>
                    <a:blip r:embed="rId30"/>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9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9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0" descr=""/>
                    <pic:cNvPicPr>
                      <a:picLocks noChangeAspect="1" noChangeArrowheads="1"/>
                    </pic:cNvPicPr>
                  </pic:nvPicPr>
                  <pic:blipFill>
                    <a:blip r:embed="rId31"/>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0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1" descr=""/>
                    <pic:cNvPicPr>
                      <a:picLocks noChangeAspect="1" noChangeArrowheads="1"/>
                    </pic:cNvPicPr>
                  </pic:nvPicPr>
                  <pic:blipFill>
                    <a:blip r:embed="rId32"/>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0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2" descr=""/>
                    <pic:cNvPicPr>
                      <a:picLocks noChangeAspect="1" noChangeArrowheads="1"/>
                    </pic:cNvPicPr>
                  </pic:nvPicPr>
                  <pic:blipFill>
                    <a:blip r:embed="rId33"/>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0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3" descr=""/>
                    <pic:cNvPicPr>
                      <a:picLocks noChangeAspect="1" noChangeArrowheads="1"/>
                    </pic:cNvPicPr>
                  </pic:nvPicPr>
                  <pic:blipFill>
                    <a:blip r:embed="rId34"/>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0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4" descr=""/>
                    <pic:cNvPicPr>
                      <a:picLocks noChangeAspect="1" noChangeArrowheads="1"/>
                    </pic:cNvPicPr>
                  </pic:nvPicPr>
                  <pic:blipFill>
                    <a:blip r:embed="rId35"/>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0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0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5" descr=""/>
                    <pic:cNvPicPr>
                      <a:picLocks noChangeAspect="1" noChangeArrowheads="1"/>
                    </pic:cNvPicPr>
                  </pic:nvPicPr>
                  <pic:blipFill>
                    <a:blip r:embed="rId36"/>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10"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6" descr=""/>
                    <pic:cNvPicPr>
                      <a:picLocks noChangeAspect="1" noChangeArrowheads="1"/>
                    </pic:cNvPicPr>
                  </pic:nvPicPr>
                  <pic:blipFill>
                    <a:blip r:embed="rId37"/>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12"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7" descr=""/>
                    <pic:cNvPicPr>
                      <a:picLocks noChangeAspect="1" noChangeArrowheads="1"/>
                    </pic:cNvPicPr>
                  </pic:nvPicPr>
                  <pic:blipFill>
                    <a:blip r:embed="rId38"/>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14"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8" descr=""/>
                    <pic:cNvPicPr>
                      <a:picLocks noChangeAspect="1" noChangeArrowheads="1"/>
                    </pic:cNvPicPr>
                  </pic:nvPicPr>
                  <pic:blipFill>
                    <a:blip r:embed="rId39"/>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16"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9" descr=""/>
                    <pic:cNvPicPr>
                      <a:picLocks noChangeAspect="1" noChangeArrowheads="1"/>
                    </pic:cNvPicPr>
                  </pic:nvPicPr>
                  <pic:blipFill>
                    <a:blip r:embed="rId40"/>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18"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41"/>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42"/>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2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2" descr=""/>
                    <pic:cNvPicPr>
                      <a:picLocks noChangeAspect="1" noChangeArrowheads="1"/>
                    </pic:cNvPicPr>
                  </pic:nvPicPr>
                  <pic:blipFill>
                    <a:blip r:embed="rId43"/>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2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3" descr=""/>
                    <pic:cNvPicPr>
                      <a:picLocks noChangeAspect="1" noChangeArrowheads="1"/>
                    </pic:cNvPicPr>
                  </pic:nvPicPr>
                  <pic:blipFill>
                    <a:blip r:embed="rId44"/>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2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4" descr=""/>
                    <pic:cNvPicPr>
                      <a:picLocks noChangeAspect="1" noChangeArrowheads="1"/>
                    </pic:cNvPicPr>
                  </pic:nvPicPr>
                  <pic:blipFill>
                    <a:blip r:embed="rId45"/>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2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2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5" descr=""/>
                    <pic:cNvPicPr>
                      <a:picLocks noChangeAspect="1" noChangeArrowheads="1"/>
                    </pic:cNvPicPr>
                  </pic:nvPicPr>
                  <pic:blipFill>
                    <a:blip r:embed="rId46"/>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0"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6" descr=""/>
                    <pic:cNvPicPr>
                      <a:picLocks noChangeAspect="1" noChangeArrowheads="1"/>
                    </pic:cNvPicPr>
                  </pic:nvPicPr>
                  <pic:blipFill>
                    <a:blip r:embed="rId47"/>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2"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7" descr=""/>
                    <pic:cNvPicPr>
                      <a:picLocks noChangeAspect="1" noChangeArrowheads="1"/>
                    </pic:cNvPicPr>
                  </pic:nvPicPr>
                  <pic:blipFill>
                    <a:blip r:embed="rId48"/>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4"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8" descr=""/>
                    <pic:cNvPicPr>
                      <a:picLocks noChangeAspect="1" noChangeArrowheads="1"/>
                    </pic:cNvPicPr>
                  </pic:nvPicPr>
                  <pic:blipFill>
                    <a:blip r:embed="rId49"/>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6"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9" descr=""/>
                    <pic:cNvPicPr>
                      <a:picLocks noChangeAspect="1" noChangeArrowheads="1"/>
                    </pic:cNvPicPr>
                  </pic:nvPicPr>
                  <pic:blipFill>
                    <a:blip r:embed="rId50"/>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8"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3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0" descr=""/>
                    <pic:cNvPicPr>
                      <a:picLocks noChangeAspect="1" noChangeArrowheads="1"/>
                    </pic:cNvPicPr>
                  </pic:nvPicPr>
                  <pic:blipFill>
                    <a:blip r:embed="rId51"/>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1" descr=""/>
                    <pic:cNvPicPr>
                      <a:picLocks noChangeAspect="1" noChangeArrowheads="1"/>
                    </pic:cNvPicPr>
                  </pic:nvPicPr>
                  <pic:blipFill>
                    <a:blip r:embed="rId52"/>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2" descr=""/>
                    <pic:cNvPicPr>
                      <a:picLocks noChangeAspect="1" noChangeArrowheads="1"/>
                    </pic:cNvPicPr>
                  </pic:nvPicPr>
                  <pic:blipFill>
                    <a:blip r:embed="rId53"/>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3" descr=""/>
                    <pic:cNvPicPr>
                      <a:picLocks noChangeAspect="1" noChangeArrowheads="1"/>
                    </pic:cNvPicPr>
                  </pic:nvPicPr>
                  <pic:blipFill>
                    <a:blip r:embed="rId54"/>
                    <a:stretch>
                      <a:fillRect/>
                    </a:stretch>
                  </pic:blipFill>
                  <pic:spPr bwMode="auto">
                    <a:xfrm>
                      <a:off x="0" y="0"/>
                      <a:ext cx="8229600" cy="462915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8229600" cy="4629150"/>
            <wp:effectExtent l="0" t="0" r="0" b="0"/>
            <wp:docPr id="14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4" descr=""/>
                    <pic:cNvPicPr>
                      <a:picLocks noChangeAspect="1" noChangeArrowheads="1"/>
                    </pic:cNvPicPr>
                  </pic:nvPicPr>
                  <pic:blipFill>
                    <a:blip r:embed="rId55"/>
                    <a:stretch>
                      <a:fillRect/>
                    </a:stretch>
                  </pic:blipFill>
                  <pic:spPr bwMode="auto">
                    <a:xfrm>
                      <a:off x="0" y="0"/>
                      <a:ext cx="8229600" cy="46291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17546</Words>
  <Characters>99313</Characters>
  <CharactersWithSpaces>115067</CharactersWithSpaces>
  <Paragraphs>3184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