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Menendez Carlos Javier</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320" w:type="dxa"/>
            <w:vAlign w:val="bottom"/>
            <w:tcBorders>
              <w:top w:val="single" w:sz="8" w:color="0000EE"/>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dLocal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DLO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300" w:type="dxa"/>
            <w:vAlign w:val="bottom"/>
          </w:tcPr>
          <w:p>
            <w:pPr>
              <w:ind w:left="280"/>
              <w:spacing w:after="0"/>
              <w:rPr>
                <w:sz w:val="20"/>
                <w:szCs w:val="20"/>
                <w:color w:val="auto"/>
              </w:rPr>
            </w:pPr>
            <w:r>
              <w:rPr>
                <w:rFonts w:ascii="Arial" w:cs="Arial" w:eastAsia="Arial" w:hAnsi="Arial"/>
                <w:sz w:val="15"/>
                <w:szCs w:val="15"/>
                <w:color w:val="auto"/>
              </w:rPr>
              <w:t>(First)</w:t>
            </w:r>
          </w:p>
        </w:tc>
        <w:tc>
          <w:tcPr>
            <w:tcW w:w="1020" w:type="dxa"/>
            <w:vAlign w:val="bottom"/>
          </w:tcPr>
          <w:p>
            <w:pPr>
              <w:jc w:val="right"/>
              <w:ind w:right="374"/>
              <w:spacing w:after="0"/>
              <w:rPr>
                <w:sz w:val="20"/>
                <w:szCs w:val="20"/>
                <w:color w:val="auto"/>
              </w:rPr>
            </w:pPr>
            <w:r>
              <w:rPr>
                <w:rFonts w:ascii="Arial" w:cs="Arial" w:eastAsia="Arial" w:hAnsi="Arial"/>
                <w:sz w:val="15"/>
                <w:szCs w:val="15"/>
                <w:color w:val="auto"/>
                <w:w w:val="99"/>
              </w:rPr>
              <w:t>(Middle)</w:t>
            </w:r>
          </w:p>
        </w:tc>
      </w:tr>
      <w:tr>
        <w:trPr>
          <w:trHeight w:val="310"/>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7"/>
              </w:rPr>
              <w:t>C/O DLOCAL LIMITED</w:t>
            </w:r>
          </w:p>
        </w:tc>
        <w:tc>
          <w:tcPr>
            <w:tcW w:w="102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DR. LUIS BONAVITA, 1294,</w:t>
            </w:r>
          </w:p>
        </w:tc>
      </w:tr>
      <w:tr>
        <w:trPr>
          <w:trHeight w:val="177"/>
        </w:trPr>
        <w:tc>
          <w:tcPr>
            <w:tcW w:w="7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5"/>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MONTEVIDEO X3</w:t>
            </w:r>
          </w:p>
        </w:tc>
        <w:tc>
          <w:tcPr>
            <w:tcW w:w="1020" w:type="dxa"/>
            <w:vAlign w:val="bottom"/>
          </w:tcPr>
          <w:p>
            <w:pPr>
              <w:jc w:val="right"/>
              <w:ind w:right="314"/>
              <w:spacing w:after="0"/>
              <w:rPr>
                <w:sz w:val="20"/>
                <w:szCs w:val="20"/>
                <w:color w:val="auto"/>
              </w:rPr>
            </w:pPr>
            <w:r>
              <w:rPr>
                <w:rFonts w:ascii="Times New Roman" w:cs="Times New Roman" w:eastAsia="Times New Roman" w:hAnsi="Times New Roman"/>
                <w:sz w:val="20"/>
                <w:szCs w:val="20"/>
                <w:color w:val="0000FF"/>
              </w:rPr>
              <w:t>11300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Operating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Shares</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20"/>
                <w:szCs w:val="20"/>
                <w:color w:val="0000FF"/>
              </w:rPr>
              <w:t>1,275,510</w:t>
            </w:r>
            <w:r>
              <w:rPr>
                <w:rFonts w:ascii="Times New Roman" w:cs="Times New Roman" w:eastAsia="Times New Roman" w:hAnsi="Times New Roman"/>
                <w:sz w:val="25"/>
                <w:szCs w:val="25"/>
                <w:color w:val="008000"/>
                <w:vertAlign w:val="superscript"/>
              </w:rPr>
              <w:t>(1)</w:t>
            </w:r>
          </w:p>
        </w:tc>
        <w:tc>
          <w:tcPr>
            <w:tcW w:w="98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980" w:type="dxa"/>
            <w:vAlign w:val="bottom"/>
            <w:gridSpan w:val="2"/>
            <w:vMerge w:val="restart"/>
          </w:tcPr>
          <w:p>
            <w:pPr>
              <w:ind w:left="2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80" w:type="dxa"/>
            <w:vAlign w:val="bottom"/>
            <w:gridSpan w:val="2"/>
          </w:tcPr>
          <w:p>
            <w:pPr>
              <w:ind w:left="2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80" w:type="dxa"/>
            <w:vAlign w:val="bottom"/>
            <w:gridSpan w:val="2"/>
          </w:tcPr>
          <w:p>
            <w:pPr>
              <w:ind w:left="2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80" w:type="dxa"/>
            <w:vAlign w:val="bottom"/>
          </w:tcPr>
          <w:p>
            <w:pPr>
              <w:spacing w:after="0"/>
              <w:rPr>
                <w:sz w:val="14"/>
                <w:szCs w:val="14"/>
                <w:color w:val="auto"/>
              </w:rPr>
            </w:pPr>
          </w:p>
        </w:tc>
        <w:tc>
          <w:tcPr>
            <w:tcW w:w="980" w:type="dxa"/>
            <w:vAlign w:val="bottom"/>
            <w:gridSpan w:val="2"/>
          </w:tcPr>
          <w:p>
            <w:pPr>
              <w:ind w:left="2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80" w:type="dxa"/>
            <w:vAlign w:val="bottom"/>
            <w:gridSpan w:val="2"/>
          </w:tcPr>
          <w:p>
            <w:pPr>
              <w:ind w:left="2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6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1,084,183 Class A Common Shares subject to outstanding restricted stock units, which will vest based on the Reporting Person's continued service through the applicable vesting dates.</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24.1 -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04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Agustin Cancela,</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8"/>
              </w:rPr>
              <w:t>attorney-in-fact for Carlos  03/18/2026</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040" w:type="dxa"/>
            <w:vAlign w:val="bottom"/>
            <w:tcBorders>
              <w:top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Menendez</w:t>
            </w:r>
          </w:p>
        </w:tc>
        <w:tc>
          <w:tcPr>
            <w:tcW w:w="14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140" w:type="dxa"/>
            <w:vAlign w:val="bottom"/>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04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1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4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58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8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24.1</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Gabriela Vieira, Julia Durigan 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Agustin Cancela, as the undersigned’s true and lawful attorneys-in-fact to:</w:t>
      </w:r>
    </w:p>
    <w:p>
      <w:pPr>
        <w:spacing w:after="0" w:line="230" w:lineRule="exact"/>
        <w:rPr>
          <w:sz w:val="20"/>
          <w:szCs w:val="20"/>
          <w:color w:val="auto"/>
        </w:rPr>
      </w:pPr>
    </w:p>
    <w:p>
      <w:pPr>
        <w:ind w:right="20" w:firstLine="720"/>
        <w:spacing w:after="0" w:line="258" w:lineRule="auto"/>
        <w:tabs>
          <w:tab w:leader="none" w:pos="130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and maintain credentials, including any Form ID or amended Form ID, to enable the undersigned, directly or indirectly including through a delegated entity, account administrator or other designated filing agent, to submit and file information and documents via the SEC’s Electronic Data Gathering and Retrieval (“EDGAR”) system or successor EDGAR Next, including identification codes, verification codes, passwords and password management codes, and any related annual certifications or confirmations, and to act as the undersigned’s agent for such purposes;</w:t>
      </w:r>
    </w:p>
    <w:p>
      <w:pPr>
        <w:spacing w:after="0" w:line="204" w:lineRule="exact"/>
        <w:rPr>
          <w:rFonts w:ascii="Times New Roman" w:cs="Times New Roman" w:eastAsia="Times New Roman" w:hAnsi="Times New Roman"/>
          <w:sz w:val="20"/>
          <w:szCs w:val="20"/>
          <w:color w:val="auto"/>
        </w:rPr>
      </w:pPr>
    </w:p>
    <w:p>
      <w:pPr>
        <w:ind w:right="80" w:firstLine="720"/>
        <w:spacing w:after="0" w:line="266" w:lineRule="auto"/>
        <w:tabs>
          <w:tab w:leader="none" w:pos="130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 reporting person pursuant to Section 16 of the Securities Exchange Act of 1934, as amended (the “Exchange Act”), and the rules thereunder of DLocal Limited (the “Company”), Forms 3, 4 and 5, including any amendments thereto, in accordance with Section 16(a) of the Exchange Act;</w:t>
      </w:r>
    </w:p>
    <w:p>
      <w:pPr>
        <w:spacing w:after="0" w:line="195" w:lineRule="exact"/>
        <w:rPr>
          <w:rFonts w:ascii="Times New Roman" w:cs="Times New Roman" w:eastAsia="Times New Roman" w:hAnsi="Times New Roman"/>
          <w:sz w:val="20"/>
          <w:szCs w:val="20"/>
          <w:color w:val="auto"/>
        </w:rPr>
      </w:pPr>
    </w:p>
    <w:p>
      <w:pPr>
        <w:jc w:val="both"/>
        <w:ind w:right="340" w:firstLine="720"/>
        <w:spacing w:after="0" w:line="261" w:lineRule="auto"/>
        <w:tabs>
          <w:tab w:leader="none" w:pos="130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directly or indirectly including through a delegated entity, account administrator or other designated filing agent, for and on behalf of the undersigned which may be necessary or desirable to complete and execute any such Form 3, 4 or 5, complete and execute any amendment or amendments thereto, and timely file such form with the United States Securities and Exchange Commission (the “SEC”) and any applicable stock exchange or similar authority;</w:t>
      </w:r>
    </w:p>
    <w:p>
      <w:pPr>
        <w:spacing w:after="0" w:line="200" w:lineRule="exact"/>
        <w:rPr>
          <w:rFonts w:ascii="Times New Roman" w:cs="Times New Roman" w:eastAsia="Times New Roman" w:hAnsi="Times New Roman"/>
          <w:sz w:val="20"/>
          <w:szCs w:val="20"/>
          <w:color w:val="auto"/>
        </w:rPr>
      </w:pPr>
    </w:p>
    <w:p>
      <w:pPr>
        <w:ind w:right="80" w:firstLine="720"/>
        <w:spacing w:after="0" w:line="261" w:lineRule="auto"/>
        <w:tabs>
          <w:tab w:leader="none" w:pos="130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and file, or cause to be prepared, executed and filed, on behalf of the undersigned one or more Forms 144, or any amendments thereto, relating to any sales orders (including in connection with the exercise of options to purchase the Company’s common stock (“common stock”), orally or electronically, to sell shares of common stock to the public from time to time in accordance with Rule 144 under the Securities Act of 1933, as amended;</w:t>
      </w:r>
    </w:p>
    <w:p>
      <w:pPr>
        <w:spacing w:after="0" w:line="200" w:lineRule="exact"/>
        <w:rPr>
          <w:rFonts w:ascii="Times New Roman" w:cs="Times New Roman" w:eastAsia="Times New Roman" w:hAnsi="Times New Roman"/>
          <w:sz w:val="20"/>
          <w:szCs w:val="20"/>
          <w:color w:val="auto"/>
        </w:rPr>
      </w:pPr>
    </w:p>
    <w:p>
      <w:pPr>
        <w:ind w:right="260" w:firstLine="720"/>
        <w:spacing w:after="0" w:line="258" w:lineRule="auto"/>
        <w:tabs>
          <w:tab w:leader="none" w:pos="130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 and</w:t>
      </w:r>
    </w:p>
    <w:p>
      <w:pPr>
        <w:spacing w:after="0" w:line="204" w:lineRule="exact"/>
        <w:rPr>
          <w:rFonts w:ascii="Times New Roman" w:cs="Times New Roman" w:eastAsia="Times New Roman" w:hAnsi="Times New Roman"/>
          <w:sz w:val="20"/>
          <w:szCs w:val="20"/>
          <w:color w:val="auto"/>
        </w:rPr>
      </w:pPr>
    </w:p>
    <w:p>
      <w:pPr>
        <w:ind w:right="420" w:firstLine="720"/>
        <w:spacing w:after="0" w:line="256" w:lineRule="auto"/>
        <w:tabs>
          <w:tab w:leader="none" w:pos="130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 as an account administrator for the undersigned’s EDGAR account, including: (i) appointing, removing and replacing account administrators, account users, technical administrators and delegated entities; (ii) maintaining the security of the undersigned’s EDGAR account, including modification of access codes; (iii) maintaining, modifying and certifying the accuracy of information on the undersigned’s EDGAR account dashboard; (iv) acting as the EDGAR point of contact with respect to the undersigned’s EDGAR account; and (v) performing any other actions contemplated by Rule 10 of Regulation S-T with respect to account administrators.</w:t>
      </w:r>
    </w:p>
    <w:p>
      <w:pPr>
        <w:spacing w:after="0" w:line="209" w:lineRule="exact"/>
        <w:rPr>
          <w:sz w:val="20"/>
          <w:szCs w:val="20"/>
          <w:color w:val="auto"/>
        </w:rPr>
      </w:pPr>
    </w:p>
    <w:p>
      <w:pPr>
        <w:ind w:right="20"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delegation or revocation, hereby ratifying and confirming all that any of such attorneys-in-fact, or the substitute or substitutes or delegee or delegees of any of such attorneys- 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6" w:lineRule="exact"/>
        <w:rPr>
          <w:sz w:val="20"/>
          <w:szCs w:val="20"/>
          <w:color w:val="auto"/>
        </w:rPr>
      </w:pPr>
    </w:p>
    <w:p>
      <w:pPr>
        <w:ind w:right="80" w:firstLine="720"/>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supersedes all other powers of attorney previously executed by the undersigned in respect of the subject matter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358775</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374" w:right="479" w:bottom="1440" w:gutter="0" w:footer="0" w:header="0"/>
        </w:sectPr>
      </w:pPr>
    </w:p>
    <w:bookmarkStart w:id="2" w:name="page3"/>
    <w:bookmarkEnd w:id="2"/>
    <w:p>
      <w:pPr>
        <w:ind w:left="72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26 day of February,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2026.</w:t>
      </w:r>
    </w:p>
    <w:p>
      <w:pPr>
        <w:spacing w:after="0" w:line="290" w:lineRule="exact"/>
        <w:rPr>
          <w:sz w:val="20"/>
          <w:szCs w:val="20"/>
          <w:color w:val="auto"/>
        </w:rPr>
      </w:pPr>
    </w:p>
    <w:p>
      <w:pPr>
        <w:ind w:left="60"/>
        <w:spacing w:after="0"/>
        <w:tabs>
          <w:tab w:leader="none" w:pos="800" w:val="left"/>
        </w:tabs>
        <w:rPr>
          <w:sz w:val="20"/>
          <w:szCs w:val="20"/>
          <w:color w:val="auto"/>
        </w:rPr>
      </w:pPr>
      <w:r>
        <w:rPr>
          <w:rFonts w:ascii="Times New Roman" w:cs="Times New Roman" w:eastAsia="Times New Roman" w:hAnsi="Times New Roman"/>
          <w:sz w:val="20"/>
          <w:szCs w:val="20"/>
          <w:color w:val="auto"/>
        </w:rPr>
        <w:t>Name:</w:t>
        <w:tab/>
        <w:t>Carlos Menendez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57150</wp:posOffset>
            </wp:positionV>
            <wp:extent cx="229679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296795" cy="952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60"/>
        <w:spacing w:after="0"/>
        <w:tabs>
          <w:tab w:leader="none" w:pos="800" w:val="left"/>
        </w:tabs>
        <w:rPr>
          <w:sz w:val="20"/>
          <w:szCs w:val="20"/>
          <w:color w:val="auto"/>
        </w:rPr>
      </w:pPr>
      <w:r>
        <w:rPr>
          <w:rFonts w:ascii="Times New Roman" w:cs="Times New Roman" w:eastAsia="Times New Roman" w:hAnsi="Times New Roman"/>
          <w:sz w:val="20"/>
          <w:szCs w:val="20"/>
          <w:color w:val="auto"/>
        </w:rPr>
        <w:t>Signed</w:t>
        <w:tab/>
        <w:t>/s/ Carlos Menendez</w:t>
      </w:r>
    </w:p>
    <w:p>
      <w:pPr>
        <w:spacing w:after="0" w:line="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44450</wp:posOffset>
            </wp:positionV>
            <wp:extent cx="229679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296795"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444500</wp:posOffset>
            </wp:positionV>
            <wp:extent cx="69469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600"/>
      </w:cols>
      <w:pgMar w:left="480" w:top="585"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2113284" TargetMode="External"/><Relationship Id="rId11" Type="http://schemas.openxmlformats.org/officeDocument/2006/relationships/hyperlink" Target="http://www.sec.gov/cgi-bin/browse-edgar?action=getcompany&amp;CIK=00018468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2026-03-18T08:02:54Z</dcterms:created>
  <dcterms:modified xsi:type="dcterms:W3CDTF">2026-03-18T08:02:54Z</dcterms:modified>
</cp:coreProperties>
</file>